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27" w:rsidRDefault="00D62F27" w:rsidP="00D62F27">
      <w:pPr>
        <w:rPr>
          <w:b/>
          <w:sz w:val="40"/>
          <w:szCs w:val="40"/>
        </w:rPr>
      </w:pPr>
      <w:r>
        <w:rPr>
          <w:b/>
          <w:sz w:val="40"/>
          <w:szCs w:val="40"/>
        </w:rPr>
        <w:t>NOTAT</w:t>
      </w:r>
    </w:p>
    <w:p w:rsidR="00D62F27" w:rsidRDefault="00D62F27" w:rsidP="00D62F27">
      <w:pPr>
        <w:spacing w:after="0"/>
      </w:pPr>
      <w:r>
        <w:t>Svein M. Søgnen, Norges Skogeierforbund</w:t>
      </w:r>
    </w:p>
    <w:p w:rsidR="00D62F27" w:rsidRDefault="00D62F27" w:rsidP="00D62F27">
      <w:pPr>
        <w:spacing w:after="0"/>
      </w:pPr>
      <w:r>
        <w:t>Ma</w:t>
      </w:r>
      <w:r w:rsidR="00B44A8A">
        <w:t>i</w:t>
      </w:r>
      <w:r>
        <w:t xml:space="preserve"> 2019 (Oppdatert notat fra april 2018 og februar</w:t>
      </w:r>
      <w:r w:rsidR="00B44A8A">
        <w:t xml:space="preserve"> og mars</w:t>
      </w:r>
      <w:r>
        <w:t xml:space="preserve"> 2019)</w:t>
      </w:r>
    </w:p>
    <w:p w:rsidR="00D62F27" w:rsidRDefault="00D62F27" w:rsidP="00D62F27"/>
    <w:p w:rsidR="00D62F27" w:rsidRDefault="00D62F27" w:rsidP="00D62F27">
      <w:pPr>
        <w:rPr>
          <w:b/>
          <w:sz w:val="36"/>
          <w:szCs w:val="36"/>
        </w:rPr>
      </w:pPr>
    </w:p>
    <w:p w:rsidR="00D62F27" w:rsidRDefault="00D62F27" w:rsidP="00D62F27">
      <w:pPr>
        <w:rPr>
          <w:b/>
          <w:sz w:val="36"/>
          <w:szCs w:val="36"/>
        </w:rPr>
      </w:pPr>
      <w:r>
        <w:rPr>
          <w:b/>
          <w:sz w:val="36"/>
          <w:szCs w:val="36"/>
        </w:rPr>
        <w:t>Status for fuglene som lever i skogen</w:t>
      </w:r>
    </w:p>
    <w:p w:rsidR="00D62F27" w:rsidRDefault="00D62F27" w:rsidP="00D62F27">
      <w:pPr>
        <w:rPr>
          <w:bCs/>
        </w:rPr>
      </w:pPr>
      <w:r>
        <w:rPr>
          <w:b/>
          <w:bCs/>
        </w:rPr>
        <w:t xml:space="preserve">Bakgrunn                                                                                                                                                                         </w:t>
      </w:r>
      <w:r>
        <w:rPr>
          <w:bCs/>
        </w:rPr>
        <w:t xml:space="preserve">Dette notatet presenterer status for antall </w:t>
      </w:r>
      <w:r>
        <w:rPr>
          <w:b/>
          <w:bCs/>
        </w:rPr>
        <w:t>par</w:t>
      </w:r>
      <w:r>
        <w:rPr>
          <w:bCs/>
        </w:rPr>
        <w:t xml:space="preserve"> fugler som hekker i skogen i Norge, hvor mange rødlistearter som for tiden finnes i skogen og hensyn som tas til fugler gjennom kravpunkt i Norsk PEFC Skogstandard. Videre vurderes hvor mange </w:t>
      </w:r>
      <w:r>
        <w:rPr>
          <w:b/>
          <w:bCs/>
        </w:rPr>
        <w:t>par</w:t>
      </w:r>
      <w:r>
        <w:rPr>
          <w:bCs/>
        </w:rPr>
        <w:t xml:space="preserve"> fugler som kan finnes i skog som hogges i hekkeperioden. Vurderingene som er foretatt i notatet er gjort med utgangspunkt i kilder det henvises til. I notatet oppsummeres status for skogbrukets hensyn til fugler og det pekes på mulig avgang som kan skyldes unaturlig predasjon.</w:t>
      </w:r>
    </w:p>
    <w:p w:rsidR="00D62F27" w:rsidRDefault="00D62F27" w:rsidP="00D62F27">
      <w:pPr>
        <w:rPr>
          <w:bCs/>
        </w:rPr>
      </w:pPr>
    </w:p>
    <w:p w:rsidR="00D62F27" w:rsidRDefault="00D62F27" w:rsidP="00D62F27">
      <w:pPr>
        <w:rPr>
          <w:b/>
        </w:rPr>
      </w:pPr>
      <w:r>
        <w:rPr>
          <w:b/>
        </w:rPr>
        <w:t xml:space="preserve">Hvor mange fugler lever i skogen?                                                                                                                               </w:t>
      </w:r>
      <w:r>
        <w:t xml:space="preserve">Best oppdaterte status om fugler som lever i skogen i Norge finnes i Norsk Ornitologisk forenings (NOF) Rapport 2- 2015, </w:t>
      </w:r>
      <w:r>
        <w:rPr>
          <w:b/>
        </w:rPr>
        <w:t xml:space="preserve">Bestandsestimater for norske hekkefugler. </w:t>
      </w:r>
      <w:r>
        <w:t xml:space="preserve">Se: </w:t>
      </w:r>
      <w:hyperlink r:id="rId4" w:history="1">
        <w:r>
          <w:rPr>
            <w:rStyle w:val="Hyperkobling"/>
          </w:rPr>
          <w:t>http://www.birdlife.no/innhold/bilder/2015/11/17/3530/bestandsestimater_for_norske.pdf</w:t>
        </w:r>
      </w:hyperlink>
      <w:r>
        <w:t xml:space="preserve"> . Rapporten vurderer populasjonen for hver art i antall </w:t>
      </w:r>
      <w:r>
        <w:rPr>
          <w:b/>
        </w:rPr>
        <w:t>hekkende par</w:t>
      </w:r>
      <w:r>
        <w:t xml:space="preserve">. En arts hekkebestand er vurdert til hva som kan være minimumsbestand og maksimumsbestand. Legger en gjennomsnittet av minimum- og maksimumbestand til grunn for hvor mange par som hekker i Norge kan vurdert </w:t>
      </w:r>
      <w:r>
        <w:rPr>
          <w:b/>
        </w:rPr>
        <w:t>hekkebestand variere med pluss/minus ca. 30 %.</w:t>
      </w:r>
      <w:r>
        <w:t xml:space="preserve"> For arter med stor variasjon i antall på grunn av næringstilgang kan variasjonen være større.</w:t>
      </w:r>
    </w:p>
    <w:p w:rsidR="00D62F27" w:rsidRDefault="00D62F27" w:rsidP="00D62F27">
      <w:r>
        <w:t xml:space="preserve">I NOF Rapport 2-2015 vurderes bestandsstørrelsen for alle arter som hekker i Norge. I skog og i tilknytning til skog hekker ca. 100 arter. Noen av disse artene har andre naturtyper som </w:t>
      </w:r>
      <w:proofErr w:type="spellStart"/>
      <w:r>
        <w:t>hovedlevested</w:t>
      </w:r>
      <w:proofErr w:type="spellEnd"/>
      <w:r>
        <w:t xml:space="preserve">, f. eks myr, vann, fjell eller kulturlandskap, men bruker skog/overgangssone til skog som hekkested. Ca. 85 arter er vurdert til å ha skog som viktigste hekkeområde og levested. </w:t>
      </w:r>
    </w:p>
    <w:p w:rsidR="00D62F27" w:rsidRDefault="00D62F27" w:rsidP="00D62F27">
      <w:r>
        <w:t>Sum antall hekkende par fugler i den norske skogen basert på gjennomsnittet av minimum- og maksimumbestand i NOF Rapport 2-2015 vurder</w:t>
      </w:r>
      <w:r w:rsidR="00B44A8A">
        <w:t>es</w:t>
      </w:r>
      <w:r>
        <w:t xml:space="preserve"> å være </w:t>
      </w:r>
      <w:r>
        <w:rPr>
          <w:b/>
        </w:rPr>
        <w:t xml:space="preserve">ca. 32 500 000 par. </w:t>
      </w:r>
      <w:r>
        <w:t>Se vedlagt regneark til slutt i notatet som viser vurderingen.</w:t>
      </w:r>
      <w:r>
        <w:rPr>
          <w:b/>
        </w:rPr>
        <w:t xml:space="preserve">   Det vil si at det er omtrent 65 mill. fugler i skogen når hekkesesongen starter.  </w:t>
      </w:r>
      <w:r>
        <w:t xml:space="preserve">Dette er noe over halvparten av alle hekkende fugler i Norge. NOF Rapport 2-2015 indikerer at det er ca. 55 mill. </w:t>
      </w:r>
      <w:r>
        <w:rPr>
          <w:b/>
        </w:rPr>
        <w:t>par</w:t>
      </w:r>
      <w:r>
        <w:t xml:space="preserve"> fugler som for tiden hekker i Norge.</w:t>
      </w:r>
    </w:p>
    <w:p w:rsidR="00D62F27" w:rsidRDefault="00D62F27" w:rsidP="00D62F27">
      <w:r>
        <w:t>I Sverige er det vurdert at det for tiden hekker ca. 70 mill. par. (</w:t>
      </w:r>
      <w:proofErr w:type="spellStart"/>
      <w:r>
        <w:t>Fåglarna</w:t>
      </w:r>
      <w:proofErr w:type="spellEnd"/>
      <w:r>
        <w:t xml:space="preserve"> i Sverige – </w:t>
      </w:r>
      <w:proofErr w:type="spellStart"/>
      <w:r>
        <w:t>antal</w:t>
      </w:r>
      <w:proofErr w:type="spellEnd"/>
      <w:r>
        <w:t xml:space="preserve"> </w:t>
      </w:r>
      <w:proofErr w:type="spellStart"/>
      <w:r>
        <w:t>och</w:t>
      </w:r>
      <w:proofErr w:type="spellEnd"/>
      <w:r>
        <w:t xml:space="preserve"> </w:t>
      </w:r>
      <w:proofErr w:type="spellStart"/>
      <w:r>
        <w:t>förekomst</w:t>
      </w:r>
      <w:proofErr w:type="spellEnd"/>
      <w:r>
        <w:t xml:space="preserve">, Sveriges </w:t>
      </w:r>
      <w:proofErr w:type="spellStart"/>
      <w:r>
        <w:t>Ornitologiska</w:t>
      </w:r>
      <w:proofErr w:type="spellEnd"/>
      <w:r>
        <w:t xml:space="preserve"> </w:t>
      </w:r>
      <w:proofErr w:type="spellStart"/>
      <w:r>
        <w:t>Förening</w:t>
      </w:r>
      <w:proofErr w:type="spellEnd"/>
      <w:r>
        <w:t xml:space="preserve"> 2012.) Det er sum hekkende par i skog og andre naturtyper. Det er videre anslått at hver par i gjennomsnitt produserer 4,5 unge. Det vil si at en i Sverige har en «høstpopulasjon» på ca. 450 mill. fugler. Fram til neste vår er det en avgang på ca. 315 mill. fugler eller i gjennomsnitt snaue ca. 900 000. fugler pr. dag.</w:t>
      </w:r>
    </w:p>
    <w:p w:rsidR="00D62F27" w:rsidRDefault="00D62F27" w:rsidP="00D62F27">
      <w:r>
        <w:t xml:space="preserve">Legges samme vurdering til grunn for arter som </w:t>
      </w:r>
      <w:r>
        <w:rPr>
          <w:b/>
        </w:rPr>
        <w:t>hekker i den norske skogen</w:t>
      </w:r>
      <w:r>
        <w:t xml:space="preserve"> blir det en </w:t>
      </w:r>
      <w:r>
        <w:rPr>
          <w:b/>
        </w:rPr>
        <w:t>høstpopulasjon på ca. 210 mill. fugler</w:t>
      </w:r>
      <w:r>
        <w:t xml:space="preserve">. Fram til neste vår vil det være en avgang på ca. 145 mill. fugler, noe som tilsvarer en </w:t>
      </w:r>
      <w:r>
        <w:rPr>
          <w:b/>
        </w:rPr>
        <w:t>avgang på ca. 400 000 fugler pr dag</w:t>
      </w:r>
      <w:r>
        <w:t xml:space="preserve">. </w:t>
      </w:r>
    </w:p>
    <w:p w:rsidR="00D62F27" w:rsidRDefault="00D62F27" w:rsidP="00D62F27">
      <w:r>
        <w:lastRenderedPageBreak/>
        <w:t xml:space="preserve">Fuglene som hekker i </w:t>
      </w:r>
      <w:proofErr w:type="gramStart"/>
      <w:r>
        <w:t>skogen</w:t>
      </w:r>
      <w:proofErr w:type="gramEnd"/>
      <w:r>
        <w:t xml:space="preserve"> finnes i </w:t>
      </w:r>
      <w:r>
        <w:rPr>
          <w:b/>
        </w:rPr>
        <w:t>alle typer skog</w:t>
      </w:r>
      <w:r>
        <w:t xml:space="preserve"> i landet. Det vil si at </w:t>
      </w:r>
      <w:r>
        <w:rPr>
          <w:b/>
        </w:rPr>
        <w:t>skog for fuglene er sum areal av produktiv og uproduktiv skog</w:t>
      </w:r>
      <w:r>
        <w:t xml:space="preserve">. </w:t>
      </w:r>
      <w:r>
        <w:rPr>
          <w:b/>
        </w:rPr>
        <w:t xml:space="preserve"> Slik skog utgjør ca. 120 mill. dekar eller 120 000 kvadratkilometer</w:t>
      </w:r>
      <w:r>
        <w:t>. Flere av de mest vanlige artene i den norske skogen har uproduktiv skog som viktigste levested. Det gjelder bl.a.  for artene løvsanger, bjørkefink og gråsisik. Til sammen er det vurdert at disse tre artene har en hekkepopulasjon på mer enn 10 000 000 par. Det vil si om lag en tredel av alle par som hekker i skogen.</w:t>
      </w:r>
    </w:p>
    <w:p w:rsidR="00D62F27" w:rsidRDefault="00D62F27" w:rsidP="00D62F27"/>
    <w:p w:rsidR="00D62F27" w:rsidRDefault="00D62F27" w:rsidP="00D62F27">
      <w:r>
        <w:rPr>
          <w:b/>
        </w:rPr>
        <w:t xml:space="preserve">Hvordan er hekkende fugler fordelt i skogen?                                                                                                              </w:t>
      </w:r>
      <w:r>
        <w:t>Tettheten av hekkende fugler varierer i hovedsak med skogens alder, skogstruktur og treslagssammensetning. Ytterpunktene her er at sjiktet eldre lauvtredominert skog har flest arter og hekkende par pr. dekar, mens en-</w:t>
      </w:r>
      <w:proofErr w:type="spellStart"/>
      <w:r>
        <w:t>etasjet</w:t>
      </w:r>
      <w:proofErr w:type="spellEnd"/>
      <w:r>
        <w:t xml:space="preserve"> bartredominert skog har færrest arter og hekkende par pr. dekar. Viktigste forskjell mellom disse to «ytterpunktene» av skog er at tett en-</w:t>
      </w:r>
      <w:proofErr w:type="spellStart"/>
      <w:r>
        <w:t>etasjet</w:t>
      </w:r>
      <w:proofErr w:type="spellEnd"/>
      <w:r>
        <w:t xml:space="preserve"> skog ofte mangler busksjikt (busker og små trær lavere enn 2 meter) og har høyt </w:t>
      </w:r>
      <w:proofErr w:type="spellStart"/>
      <w:r>
        <w:t>oppkviststa</w:t>
      </w:r>
      <w:proofErr w:type="spellEnd"/>
      <w:r>
        <w:t xml:space="preserve"> stamme og liten trekrone. To- og </w:t>
      </w:r>
      <w:proofErr w:type="spellStart"/>
      <w:r>
        <w:t>fleretasjet</w:t>
      </w:r>
      <w:proofErr w:type="spellEnd"/>
      <w:r>
        <w:t xml:space="preserve"> skog er ofte noe mer glissen enn </w:t>
      </w:r>
      <w:proofErr w:type="spellStart"/>
      <w:r>
        <w:t>enetasjet</w:t>
      </w:r>
      <w:proofErr w:type="spellEnd"/>
      <w:r>
        <w:t xml:space="preserve"> skog og det finnes alltid busksjikt i tillegg til at det finnes trær som er lite </w:t>
      </w:r>
      <w:proofErr w:type="spellStart"/>
      <w:r>
        <w:t>oppkvistet</w:t>
      </w:r>
      <w:proofErr w:type="spellEnd"/>
      <w:r>
        <w:t>. Slik skog har på denne måten flere økologiske nisjer. Noe som gjør at flere arter og hekkende par kan leve der.</w:t>
      </w:r>
    </w:p>
    <w:p w:rsidR="00D62F27" w:rsidRDefault="00D62F27" w:rsidP="00D62F27">
      <w:pPr>
        <w:rPr>
          <w:u w:val="single"/>
        </w:rPr>
      </w:pPr>
      <w:r>
        <w:rPr>
          <w:u w:val="single"/>
        </w:rPr>
        <w:t>Fordeling av antall hekkende par på forskjellige skogtyper</w:t>
      </w:r>
    </w:p>
    <w:tbl>
      <w:tblPr>
        <w:tblW w:w="0" w:type="auto"/>
        <w:tblLook w:val="04A0" w:firstRow="1" w:lastRow="0" w:firstColumn="1" w:lastColumn="0" w:noHBand="0" w:noVBand="1"/>
      </w:tblPr>
      <w:tblGrid>
        <w:gridCol w:w="1211"/>
        <w:gridCol w:w="1336"/>
        <w:gridCol w:w="1111"/>
        <w:gridCol w:w="1336"/>
        <w:gridCol w:w="1347"/>
        <w:gridCol w:w="1374"/>
        <w:gridCol w:w="1347"/>
      </w:tblGrid>
      <w:tr w:rsidR="00D62F27" w:rsidTr="00D62F27">
        <w:tc>
          <w:tcPr>
            <w:tcW w:w="1211" w:type="dxa"/>
            <w:tcBorders>
              <w:top w:val="single" w:sz="4" w:space="0" w:color="auto"/>
              <w:left w:val="single" w:sz="4" w:space="0" w:color="auto"/>
              <w:bottom w:val="single" w:sz="4" w:space="0" w:color="auto"/>
              <w:right w:val="single" w:sz="4" w:space="0" w:color="auto"/>
            </w:tcBorders>
          </w:tcPr>
          <w:p w:rsidR="00D62F27" w:rsidRDefault="00D62F27">
            <w:pPr>
              <w:spacing w:line="240" w:lineRule="auto"/>
            </w:pP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 xml:space="preserve">Hele skogen </w:t>
            </w:r>
            <w:r>
              <w:t>1)</w:t>
            </w:r>
          </w:p>
        </w:tc>
        <w:tc>
          <w:tcPr>
            <w:tcW w:w="11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proofErr w:type="spellStart"/>
            <w:r>
              <w:rPr>
                <w:b/>
              </w:rPr>
              <w:t>Enetasjet</w:t>
            </w:r>
            <w:proofErr w:type="spellEnd"/>
            <w:r>
              <w:rPr>
                <w:b/>
              </w:rPr>
              <w:t xml:space="preserve"> eldre barskog </w:t>
            </w:r>
            <w:r>
              <w:t>2)</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 xml:space="preserve">To og </w:t>
            </w:r>
            <w:proofErr w:type="spellStart"/>
            <w:r>
              <w:rPr>
                <w:b/>
              </w:rPr>
              <w:t>fler</w:t>
            </w:r>
            <w:proofErr w:type="spellEnd"/>
            <w:r>
              <w:rPr>
                <w:b/>
              </w:rPr>
              <w:t>-</w:t>
            </w:r>
            <w:proofErr w:type="spellStart"/>
            <w:r>
              <w:rPr>
                <w:b/>
              </w:rPr>
              <w:t>etasjet</w:t>
            </w:r>
            <w:proofErr w:type="spellEnd"/>
            <w:r>
              <w:rPr>
                <w:b/>
              </w:rPr>
              <w:t xml:space="preserve"> eldre barskog </w:t>
            </w:r>
            <w:r>
              <w:t>3)</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 xml:space="preserve">Eldre </w:t>
            </w:r>
            <w:proofErr w:type="spellStart"/>
            <w:r>
              <w:rPr>
                <w:b/>
              </w:rPr>
              <w:t>løvdominert</w:t>
            </w:r>
            <w:proofErr w:type="spellEnd"/>
            <w:r>
              <w:rPr>
                <w:b/>
              </w:rPr>
              <w:t xml:space="preserve"> skog </w:t>
            </w:r>
            <w:r>
              <w:t>4)</w:t>
            </w:r>
          </w:p>
        </w:tc>
        <w:tc>
          <w:tcPr>
            <w:tcW w:w="1374"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 xml:space="preserve">Yngre bardominert skog </w:t>
            </w:r>
            <w:r>
              <w:t>5)</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 xml:space="preserve">Yngre </w:t>
            </w:r>
            <w:proofErr w:type="spellStart"/>
            <w:r>
              <w:rPr>
                <w:b/>
              </w:rPr>
              <w:t>løvdominert</w:t>
            </w:r>
            <w:proofErr w:type="spellEnd"/>
            <w:r>
              <w:rPr>
                <w:b/>
              </w:rPr>
              <w:t xml:space="preserve"> skog </w:t>
            </w:r>
            <w:r>
              <w:t>6)</w:t>
            </w:r>
          </w:p>
        </w:tc>
      </w:tr>
      <w:tr w:rsidR="00D62F27" w:rsidTr="00D62F27">
        <w:tc>
          <w:tcPr>
            <w:tcW w:w="12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Prosent av skogen</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 xml:space="preserve">100   </w:t>
            </w:r>
          </w:p>
        </w:tc>
        <w:tc>
          <w:tcPr>
            <w:tcW w:w="11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 xml:space="preserve"> Ca. 20 </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Ca. 40</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Ca. 10</w:t>
            </w:r>
          </w:p>
        </w:tc>
        <w:tc>
          <w:tcPr>
            <w:tcW w:w="1374"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Ca. 20</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Ca.10</w:t>
            </w:r>
          </w:p>
        </w:tc>
      </w:tr>
      <w:tr w:rsidR="00D62F27" w:rsidTr="00D62F27">
        <w:tc>
          <w:tcPr>
            <w:tcW w:w="12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Ca. antall par</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32 500 000</w:t>
            </w:r>
          </w:p>
        </w:tc>
        <w:tc>
          <w:tcPr>
            <w:tcW w:w="11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2 500 000</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12 500 000</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8 500 000</w:t>
            </w:r>
          </w:p>
        </w:tc>
        <w:tc>
          <w:tcPr>
            <w:tcW w:w="1374"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4 000 000</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5 000 000</w:t>
            </w:r>
          </w:p>
        </w:tc>
      </w:tr>
      <w:tr w:rsidR="00D62F27" w:rsidTr="00D62F27">
        <w:tc>
          <w:tcPr>
            <w:tcW w:w="12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Par pr dekar</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0,27</w:t>
            </w:r>
          </w:p>
        </w:tc>
        <w:tc>
          <w:tcPr>
            <w:tcW w:w="11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0,10</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0,26</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0,70</w:t>
            </w:r>
          </w:p>
        </w:tc>
        <w:tc>
          <w:tcPr>
            <w:tcW w:w="1374"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0,17</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0,42</w:t>
            </w:r>
          </w:p>
        </w:tc>
      </w:tr>
      <w:tr w:rsidR="00D62F27" w:rsidTr="00D62F27">
        <w:tc>
          <w:tcPr>
            <w:tcW w:w="12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Par pr km2</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rPr>
                <w:b/>
              </w:rPr>
            </w:pPr>
            <w:r>
              <w:rPr>
                <w:b/>
              </w:rPr>
              <w:t>270</w:t>
            </w:r>
          </w:p>
        </w:tc>
        <w:tc>
          <w:tcPr>
            <w:tcW w:w="1111"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100</w:t>
            </w:r>
          </w:p>
        </w:tc>
        <w:tc>
          <w:tcPr>
            <w:tcW w:w="1336"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260</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700</w:t>
            </w:r>
          </w:p>
        </w:tc>
        <w:tc>
          <w:tcPr>
            <w:tcW w:w="1374"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170</w:t>
            </w:r>
          </w:p>
        </w:tc>
        <w:tc>
          <w:tcPr>
            <w:tcW w:w="1347" w:type="dxa"/>
            <w:tcBorders>
              <w:top w:val="single" w:sz="4" w:space="0" w:color="auto"/>
              <w:left w:val="single" w:sz="4" w:space="0" w:color="auto"/>
              <w:bottom w:val="single" w:sz="4" w:space="0" w:color="auto"/>
              <w:right w:val="single" w:sz="4" w:space="0" w:color="auto"/>
            </w:tcBorders>
            <w:hideMark/>
          </w:tcPr>
          <w:p w:rsidR="00D62F27" w:rsidRDefault="00D62F27">
            <w:pPr>
              <w:spacing w:line="240" w:lineRule="auto"/>
            </w:pPr>
            <w:r>
              <w:t>420</w:t>
            </w:r>
          </w:p>
        </w:tc>
      </w:tr>
    </w:tbl>
    <w:p w:rsidR="00D62F27" w:rsidRDefault="00D62F27" w:rsidP="00D62F27"/>
    <w:p w:rsidR="00D62F27" w:rsidRDefault="00D62F27" w:rsidP="00D62F27">
      <w:r>
        <w:t xml:space="preserve">1) Det hekker fugler i hele skogarealet i Norge. Det vil si at </w:t>
      </w:r>
      <w:r>
        <w:rPr>
          <w:b/>
        </w:rPr>
        <w:t>det er 120 mill. dekar eller 120 000 kvadratkilometer hvor det hekker fugler</w:t>
      </w:r>
      <w:r>
        <w:t>.</w:t>
      </w:r>
    </w:p>
    <w:p w:rsidR="00D62F27" w:rsidRDefault="00D62F27" w:rsidP="00D62F27">
      <w:r>
        <w:t xml:space="preserve">For å få et bilde av hvor det hekker mange eller få fugler kan skogen deles grovt inn i skogtyper basert på data fra Landsskogtakseringen om </w:t>
      </w:r>
      <w:r>
        <w:rPr>
          <w:b/>
        </w:rPr>
        <w:t>hogstklasser, skogstruktur og treslagsfordeling</w:t>
      </w:r>
      <w:r>
        <w:t xml:space="preserve">. </w:t>
      </w:r>
    </w:p>
    <w:p w:rsidR="00D62F27" w:rsidRDefault="00D62F27" w:rsidP="00D62F27">
      <w:pPr>
        <w:rPr>
          <w:b/>
        </w:rPr>
      </w:pPr>
      <w:r>
        <w:t xml:space="preserve">For tiden er hogstklassefordelingen i produktiv skog (i hele prosenter) slik: hkl.1 = 3 %, </w:t>
      </w:r>
      <w:proofErr w:type="spellStart"/>
      <w:r>
        <w:t>hkl</w:t>
      </w:r>
      <w:proofErr w:type="spellEnd"/>
      <w:r>
        <w:t xml:space="preserve"> 2 =19 %, </w:t>
      </w:r>
      <w:proofErr w:type="spellStart"/>
      <w:r>
        <w:t>hkl</w:t>
      </w:r>
      <w:proofErr w:type="spellEnd"/>
      <w:r>
        <w:t xml:space="preserve"> 3= 19 %, </w:t>
      </w:r>
      <w:proofErr w:type="spellStart"/>
      <w:r>
        <w:t>hkl</w:t>
      </w:r>
      <w:proofErr w:type="spellEnd"/>
      <w:r>
        <w:t xml:space="preserve"> 4 = 21 og </w:t>
      </w:r>
      <w:proofErr w:type="spellStart"/>
      <w:r>
        <w:t>hkl</w:t>
      </w:r>
      <w:proofErr w:type="spellEnd"/>
      <w:r>
        <w:t xml:space="preserve"> 5 = 38 %. </w:t>
      </w:r>
      <w:r>
        <w:rPr>
          <w:b/>
        </w:rPr>
        <w:t xml:space="preserve">Uproduktiv skog vurderes å ha to- eller </w:t>
      </w:r>
      <w:proofErr w:type="spellStart"/>
      <w:r>
        <w:rPr>
          <w:b/>
        </w:rPr>
        <w:t>fleretasjet</w:t>
      </w:r>
      <w:proofErr w:type="spellEnd"/>
      <w:r>
        <w:rPr>
          <w:b/>
        </w:rPr>
        <w:t xml:space="preserve"> skog på hele arealet, som er 35 mill. dekar.</w:t>
      </w:r>
    </w:p>
    <w:p w:rsidR="00D62F27" w:rsidRDefault="00D62F27" w:rsidP="00D62F27">
      <w:r>
        <w:t xml:space="preserve">For tiden er også ca. en tredel av skogen i </w:t>
      </w:r>
      <w:proofErr w:type="spellStart"/>
      <w:r>
        <w:t>hkl</w:t>
      </w:r>
      <w:proofErr w:type="spellEnd"/>
      <w:r>
        <w:t xml:space="preserve"> 3, 4 og 5 to- eller </w:t>
      </w:r>
      <w:proofErr w:type="spellStart"/>
      <w:r>
        <w:t>fleretasjet</w:t>
      </w:r>
      <w:proofErr w:type="spellEnd"/>
      <w:r>
        <w:t xml:space="preserve">. Se: </w:t>
      </w:r>
      <w:hyperlink r:id="rId5" w:history="1">
        <w:r>
          <w:rPr>
            <w:rStyle w:val="Hyperkobling"/>
          </w:rPr>
          <w:t>https://brage.bibsys.no/xmlui/bitstream/handle/11250/2449870/NIBIO_RAPPORT_2017_3_96_v2.pdf?sequence=2&amp;isAllowed=y</w:t>
        </w:r>
      </w:hyperlink>
    </w:p>
    <w:p w:rsidR="00D62F27" w:rsidRDefault="00D62F27" w:rsidP="00D62F27">
      <w:r>
        <w:t xml:space="preserve">2) Bartredominert skog i </w:t>
      </w:r>
      <w:proofErr w:type="spellStart"/>
      <w:r>
        <w:t>hkl</w:t>
      </w:r>
      <w:proofErr w:type="spellEnd"/>
      <w:r>
        <w:t xml:space="preserve"> 4 og 5 som er </w:t>
      </w:r>
      <w:proofErr w:type="spellStart"/>
      <w:r>
        <w:t>enetasjet</w:t>
      </w:r>
      <w:proofErr w:type="spellEnd"/>
      <w:r>
        <w:t xml:space="preserve"> og for det meste mangler busksjikt. </w:t>
      </w:r>
    </w:p>
    <w:p w:rsidR="00D62F27" w:rsidRDefault="00D62F27" w:rsidP="00D62F27">
      <w:r>
        <w:lastRenderedPageBreak/>
        <w:t xml:space="preserve">3) Bartredominert skog i </w:t>
      </w:r>
      <w:proofErr w:type="spellStart"/>
      <w:r>
        <w:t>hkl</w:t>
      </w:r>
      <w:proofErr w:type="spellEnd"/>
      <w:r>
        <w:t xml:space="preserve"> 4 og 5 som er to- eller </w:t>
      </w:r>
      <w:proofErr w:type="spellStart"/>
      <w:r>
        <w:t>fleretasjet</w:t>
      </w:r>
      <w:proofErr w:type="spellEnd"/>
      <w:r>
        <w:t xml:space="preserve"> og </w:t>
      </w:r>
      <w:r>
        <w:rPr>
          <w:b/>
        </w:rPr>
        <w:t>all skog på uproduktivt areal</w:t>
      </w:r>
      <w:r>
        <w:t>. I tillegg all skog i naturreservater, nøkkelbiotoper og kantsoner.</w:t>
      </w:r>
    </w:p>
    <w:p w:rsidR="00D62F27" w:rsidRDefault="00D62F27" w:rsidP="00D62F27">
      <w:r>
        <w:t xml:space="preserve">4) Løvtredominert skog i </w:t>
      </w:r>
      <w:proofErr w:type="spellStart"/>
      <w:r>
        <w:t>hkl</w:t>
      </w:r>
      <w:proofErr w:type="spellEnd"/>
      <w:r>
        <w:t xml:space="preserve"> 4 og 5. Det vil si all edellauvskog, oreskog og produktiv høyereliggende bjørkeskog.</w:t>
      </w:r>
    </w:p>
    <w:p w:rsidR="00D62F27" w:rsidRDefault="00D62F27" w:rsidP="00D62F27">
      <w:r>
        <w:t xml:space="preserve">5)  Bartredominert skog i </w:t>
      </w:r>
      <w:proofErr w:type="spellStart"/>
      <w:r>
        <w:t>hkl</w:t>
      </w:r>
      <w:proofErr w:type="spellEnd"/>
      <w:r>
        <w:t xml:space="preserve"> 2 og 3. Også sjiktet skog i </w:t>
      </w:r>
      <w:proofErr w:type="spellStart"/>
      <w:r>
        <w:t>hkl</w:t>
      </w:r>
      <w:proofErr w:type="spellEnd"/>
      <w:r>
        <w:t xml:space="preserve"> 3.</w:t>
      </w:r>
    </w:p>
    <w:p w:rsidR="00D62F27" w:rsidRDefault="00D62F27" w:rsidP="00D62F27">
      <w:r>
        <w:t xml:space="preserve">6) Løvtredominert skog i </w:t>
      </w:r>
      <w:proofErr w:type="spellStart"/>
      <w:r>
        <w:t>hkl</w:t>
      </w:r>
      <w:proofErr w:type="spellEnd"/>
      <w:r>
        <w:t xml:space="preserve"> 1, 2 og 3 og i tillegg åpen skog av hagemarktype.</w:t>
      </w:r>
    </w:p>
    <w:p w:rsidR="00D62F27" w:rsidRDefault="00D62F27" w:rsidP="00D62F27">
      <w:pPr>
        <w:rPr>
          <w:b/>
        </w:rPr>
      </w:pPr>
      <w:r>
        <w:t xml:space="preserve">Hvilken skogtype fuglene hekker i er vurdert ut ifra beskrivelse i </w:t>
      </w:r>
      <w:r>
        <w:rPr>
          <w:b/>
        </w:rPr>
        <w:t>Gyldendals store Fugleguide</w:t>
      </w:r>
      <w:r>
        <w:t xml:space="preserve"> av leveområdene til hver enkelt art</w:t>
      </w:r>
      <w:r>
        <w:rPr>
          <w:b/>
        </w:rPr>
        <w:t>.</w:t>
      </w:r>
    </w:p>
    <w:p w:rsidR="00D62F27" w:rsidRDefault="00D62F27" w:rsidP="00D62F27">
      <w:r>
        <w:t xml:space="preserve">Vurderingen av hekkende par pr. arealenhet i tabellen over viser at det er stor forskjell mellom skogtypene i antall fugler pr dekar. Vurderingen indikerer at det i gjennomsnitt kan være inn til 7 ganger tettere hekkebestand i eldre løvtredominert skog enn i </w:t>
      </w:r>
      <w:proofErr w:type="spellStart"/>
      <w:r>
        <w:t>ensjiktet</w:t>
      </w:r>
      <w:proofErr w:type="spellEnd"/>
      <w:r>
        <w:t xml:space="preserve"> eldre barskog uten busksjikt.</w:t>
      </w:r>
    </w:p>
    <w:p w:rsidR="00D62F27" w:rsidRDefault="00D62F27" w:rsidP="00D62F27">
      <w:pPr>
        <w:rPr>
          <w:b/>
        </w:rPr>
      </w:pPr>
    </w:p>
    <w:p w:rsidR="00D62F27" w:rsidRDefault="00D62F27" w:rsidP="00D62F27">
      <w:pPr>
        <w:rPr>
          <w:b/>
        </w:rPr>
      </w:pPr>
      <w:r>
        <w:rPr>
          <w:b/>
        </w:rPr>
        <w:t>Rødlista fugler og populasjonstrender</w:t>
      </w:r>
    </w:p>
    <w:p w:rsidR="00D62F27" w:rsidRDefault="00D62F27" w:rsidP="00D62F27">
      <w:r>
        <w:t xml:space="preserve">Det er for tiden 82 hekkende arter i landet som er kategorisert som rødlistet, hvorav </w:t>
      </w:r>
      <w:r>
        <w:rPr>
          <w:b/>
        </w:rPr>
        <w:t>14 arter hekker i skog eller har skog som del av leveområdet</w:t>
      </w:r>
      <w:r>
        <w:t>. Det vil si at ca. 17 % av de rødlista artene hekker i skog eller delvis i skog. Se:</w:t>
      </w:r>
      <w:r>
        <w:rPr>
          <w:u w:val="single"/>
        </w:rPr>
        <w:t xml:space="preserve"> </w:t>
      </w:r>
      <w:r>
        <w:t xml:space="preserve">Rødlista for arter 2015 - fugler </w:t>
      </w:r>
      <w:hyperlink r:id="rId6" w:history="1">
        <w:r>
          <w:rPr>
            <w:rStyle w:val="Hyperkobling"/>
          </w:rPr>
          <w:t>http://www.artsdatabanken.no/Files/13973/Norsk_r_dliste_for_arter_2015_(PDF)</w:t>
        </w:r>
      </w:hyperlink>
    </w:p>
    <w:p w:rsidR="00D62F27" w:rsidRDefault="00D62F27" w:rsidP="00D62F27">
      <w:r>
        <w:t xml:space="preserve">Sju av de skoglevende artene er i kategori truet (VU, CR og EN) og sju er i kategori nær truet (NT). Arter som for tiden vurderes til å ha status truet er: Hubro EN, lappugle VU, slagugle VU, </w:t>
      </w:r>
      <w:proofErr w:type="spellStart"/>
      <w:r>
        <w:t>rosenfink</w:t>
      </w:r>
      <w:proofErr w:type="spellEnd"/>
      <w:r>
        <w:t xml:space="preserve"> VU, dvergspurv VU, vierspurv CR og lappsanger EN. Nær trua arter er: hønsehauk, fiskeørn, vepsevåk, gjøk, lerkefalk, lirype og </w:t>
      </w:r>
      <w:proofErr w:type="spellStart"/>
      <w:r>
        <w:t>trelerke</w:t>
      </w:r>
      <w:proofErr w:type="spellEnd"/>
      <w:r>
        <w:t xml:space="preserve">. </w:t>
      </w:r>
    </w:p>
    <w:p w:rsidR="00D62F27" w:rsidRDefault="00D62F27" w:rsidP="00D62F27">
      <w:r>
        <w:t xml:space="preserve">Av fuglene som er rødlista for tiden er det bare hønsehauk som i hovedsak hekker i </w:t>
      </w:r>
      <w:proofErr w:type="spellStart"/>
      <w:r>
        <w:t>enetasjet</w:t>
      </w:r>
      <w:proofErr w:type="spellEnd"/>
      <w:r>
        <w:t xml:space="preserve"> eldre barskog. Den blir det tatt hensyn til gjennom kravpunkt 22 i Norsk PEFC Skogstandard. </w:t>
      </w:r>
    </w:p>
    <w:p w:rsidR="00D62F27" w:rsidRDefault="00D62F27" w:rsidP="00D62F27">
      <w:pPr>
        <w:rPr>
          <w:color w:val="000000"/>
        </w:rPr>
      </w:pPr>
      <w:r>
        <w:rPr>
          <w:color w:val="000000"/>
        </w:rPr>
        <w:t>Bestandsvariasjoner for terrestriske fugler i Norge 1996 – 2013 viser at det er stabil tilstand for summen de 24 artene som overvåkes</w:t>
      </w:r>
      <w:r>
        <w:t xml:space="preserve">. Se: Rapport </w:t>
      </w:r>
      <w:r>
        <w:rPr>
          <w:color w:val="000000"/>
        </w:rPr>
        <w:t>utarbeidet av Norsk Ornitologisk Forening</w:t>
      </w:r>
      <w:r>
        <w:rPr>
          <w:rStyle w:val="Hyperkobling"/>
        </w:rPr>
        <w:t xml:space="preserve"> </w:t>
      </w:r>
      <w:hyperlink r:id="rId7" w:history="1">
        <w:r>
          <w:rPr>
            <w:rStyle w:val="Hyperkobling"/>
          </w:rPr>
          <w:t>http://www.birdlife.no/prosjekter/rapporter/2014_04_NOF.pdf</w:t>
        </w:r>
      </w:hyperlink>
      <w:r>
        <w:rPr>
          <w:color w:val="000000"/>
        </w:rPr>
        <w:t xml:space="preserve">   </w:t>
      </w:r>
    </w:p>
    <w:p w:rsidR="00D62F27" w:rsidRDefault="00D62F27" w:rsidP="00D62F27">
      <w:pPr>
        <w:rPr>
          <w:color w:val="000000"/>
        </w:rPr>
      </w:pPr>
      <w:r>
        <w:rPr>
          <w:color w:val="000000"/>
        </w:rPr>
        <w:t>Miljøstatus har oppsummert bestandsvariasjonen som er kartlagt av Norsk Ornitologisk Forening. Se:</w:t>
      </w:r>
      <w:r>
        <w:t xml:space="preserve"> </w:t>
      </w:r>
      <w:hyperlink r:id="rId8" w:history="1">
        <w:r>
          <w:rPr>
            <w:rStyle w:val="Hyperkobling"/>
          </w:rPr>
          <w:t>http://www.miljostatus.no/Hekkande-fugl-i-skogen</w:t>
        </w:r>
      </w:hyperlink>
      <w:r>
        <w:rPr>
          <w:color w:val="000000"/>
        </w:rPr>
        <w:t>  Statusen omtales slik:</w:t>
      </w:r>
    </w:p>
    <w:p w:rsidR="00D62F27" w:rsidRDefault="00D62F27" w:rsidP="00D62F27">
      <w:pPr>
        <w:spacing w:after="150" w:line="240" w:lineRule="auto"/>
        <w:rPr>
          <w:rFonts w:eastAsia="Times New Roman" w:cstheme="minorHAnsi"/>
          <w:i/>
          <w:color w:val="323232"/>
          <w:lang w:eastAsia="nb-NO"/>
        </w:rPr>
      </w:pPr>
      <w:r>
        <w:rPr>
          <w:rFonts w:eastAsia="Times New Roman" w:cstheme="minorHAnsi"/>
          <w:i/>
          <w:color w:val="323232"/>
          <w:lang w:eastAsia="nb-NO"/>
        </w:rPr>
        <w:t xml:space="preserve">Skogen er det </w:t>
      </w:r>
      <w:proofErr w:type="spellStart"/>
      <w:r>
        <w:rPr>
          <w:rFonts w:eastAsia="Times New Roman" w:cstheme="minorHAnsi"/>
          <w:i/>
          <w:color w:val="323232"/>
          <w:lang w:eastAsia="nb-NO"/>
        </w:rPr>
        <w:t>viktigaste</w:t>
      </w:r>
      <w:proofErr w:type="spellEnd"/>
      <w:r>
        <w:rPr>
          <w:rFonts w:eastAsia="Times New Roman" w:cstheme="minorHAnsi"/>
          <w:i/>
          <w:color w:val="323232"/>
          <w:lang w:eastAsia="nb-NO"/>
        </w:rPr>
        <w:t xml:space="preserve"> leveområdet for svært mange av </w:t>
      </w:r>
      <w:proofErr w:type="spellStart"/>
      <w:r>
        <w:rPr>
          <w:rFonts w:eastAsia="Times New Roman" w:cstheme="minorHAnsi"/>
          <w:i/>
          <w:color w:val="323232"/>
          <w:lang w:eastAsia="nb-NO"/>
        </w:rPr>
        <w:t>fugleartane</w:t>
      </w:r>
      <w:proofErr w:type="spellEnd"/>
      <w:r>
        <w:rPr>
          <w:rFonts w:eastAsia="Times New Roman" w:cstheme="minorHAnsi"/>
          <w:i/>
          <w:color w:val="323232"/>
          <w:lang w:eastAsia="nb-NO"/>
        </w:rPr>
        <w:t xml:space="preserve"> våre, og litt over </w:t>
      </w:r>
      <w:proofErr w:type="spellStart"/>
      <w:r>
        <w:rPr>
          <w:rFonts w:eastAsia="Times New Roman" w:cstheme="minorHAnsi"/>
          <w:i/>
          <w:color w:val="323232"/>
          <w:lang w:eastAsia="nb-NO"/>
        </w:rPr>
        <w:t>ein</w:t>
      </w:r>
      <w:proofErr w:type="spellEnd"/>
      <w:r>
        <w:rPr>
          <w:rFonts w:eastAsia="Times New Roman" w:cstheme="minorHAnsi"/>
          <w:i/>
          <w:color w:val="323232"/>
          <w:lang w:eastAsia="nb-NO"/>
        </w:rPr>
        <w:t xml:space="preserve"> tredjedel av </w:t>
      </w:r>
      <w:proofErr w:type="spellStart"/>
      <w:r>
        <w:rPr>
          <w:rFonts w:eastAsia="Times New Roman" w:cstheme="minorHAnsi"/>
          <w:i/>
          <w:color w:val="323232"/>
          <w:lang w:eastAsia="nb-NO"/>
        </w:rPr>
        <w:t>hekkefuglane</w:t>
      </w:r>
      <w:proofErr w:type="spellEnd"/>
      <w:r>
        <w:rPr>
          <w:rFonts w:eastAsia="Times New Roman" w:cstheme="minorHAnsi"/>
          <w:i/>
          <w:color w:val="323232"/>
          <w:lang w:eastAsia="nb-NO"/>
        </w:rPr>
        <w:t xml:space="preserve"> våre </w:t>
      </w:r>
      <w:proofErr w:type="spellStart"/>
      <w:r>
        <w:rPr>
          <w:rFonts w:eastAsia="Times New Roman" w:cstheme="minorHAnsi"/>
          <w:i/>
          <w:color w:val="323232"/>
          <w:lang w:eastAsia="nb-NO"/>
        </w:rPr>
        <w:t>finst</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hovudsakleg</w:t>
      </w:r>
      <w:proofErr w:type="spellEnd"/>
      <w:r>
        <w:rPr>
          <w:rFonts w:eastAsia="Times New Roman" w:cstheme="minorHAnsi"/>
          <w:i/>
          <w:color w:val="323232"/>
          <w:lang w:eastAsia="nb-NO"/>
        </w:rPr>
        <w:t xml:space="preserve"> i skog. Våre skogsareal er i stadig endring og det er </w:t>
      </w:r>
      <w:proofErr w:type="spellStart"/>
      <w:r>
        <w:rPr>
          <w:rFonts w:eastAsia="Times New Roman" w:cstheme="minorHAnsi"/>
          <w:i/>
          <w:color w:val="323232"/>
          <w:lang w:eastAsia="nb-NO"/>
        </w:rPr>
        <w:t>no</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ein</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auke</w:t>
      </w:r>
      <w:proofErr w:type="spellEnd"/>
      <w:r>
        <w:rPr>
          <w:rFonts w:eastAsia="Times New Roman" w:cstheme="minorHAnsi"/>
          <w:i/>
          <w:color w:val="323232"/>
          <w:lang w:eastAsia="nb-NO"/>
        </w:rPr>
        <w:t xml:space="preserve"> i både areal og alder på skogen. Men arealet med urørt naturskog </w:t>
      </w:r>
      <w:proofErr w:type="spellStart"/>
      <w:r>
        <w:rPr>
          <w:rFonts w:eastAsia="Times New Roman" w:cstheme="minorHAnsi"/>
          <w:i/>
          <w:color w:val="323232"/>
          <w:lang w:eastAsia="nb-NO"/>
        </w:rPr>
        <w:t>minkar</w:t>
      </w:r>
      <w:proofErr w:type="spellEnd"/>
      <w:r>
        <w:rPr>
          <w:rFonts w:eastAsia="Times New Roman" w:cstheme="minorHAnsi"/>
          <w:i/>
          <w:color w:val="323232"/>
          <w:lang w:eastAsia="nb-NO"/>
        </w:rPr>
        <w:t>. </w:t>
      </w:r>
    </w:p>
    <w:p w:rsidR="00D62F27" w:rsidRDefault="00D62F27" w:rsidP="00D62F27">
      <w:pPr>
        <w:spacing w:after="150" w:line="240" w:lineRule="auto"/>
        <w:rPr>
          <w:rFonts w:eastAsia="Times New Roman" w:cstheme="minorHAnsi"/>
          <w:i/>
          <w:color w:val="323232"/>
          <w:lang w:eastAsia="nb-NO"/>
        </w:rPr>
      </w:pPr>
      <w:r>
        <w:rPr>
          <w:rFonts w:eastAsia="Times New Roman" w:cstheme="minorHAnsi"/>
          <w:i/>
          <w:color w:val="323232"/>
          <w:lang w:eastAsia="nb-NO"/>
        </w:rPr>
        <w:t xml:space="preserve">Figuren over </w:t>
      </w:r>
      <w:proofErr w:type="spellStart"/>
      <w:r>
        <w:rPr>
          <w:rFonts w:eastAsia="Times New Roman" w:cstheme="minorHAnsi"/>
          <w:i/>
          <w:color w:val="323232"/>
          <w:lang w:eastAsia="nb-NO"/>
        </w:rPr>
        <w:t>omfattar</w:t>
      </w:r>
      <w:proofErr w:type="spellEnd"/>
      <w:r>
        <w:rPr>
          <w:rFonts w:eastAsia="Times New Roman" w:cstheme="minorHAnsi"/>
          <w:i/>
          <w:color w:val="323232"/>
          <w:lang w:eastAsia="nb-NO"/>
        </w:rPr>
        <w:t xml:space="preserve"> 24 </w:t>
      </w:r>
      <w:proofErr w:type="spellStart"/>
      <w:r>
        <w:rPr>
          <w:rFonts w:eastAsia="Times New Roman" w:cstheme="minorHAnsi"/>
          <w:i/>
          <w:color w:val="323232"/>
          <w:lang w:eastAsia="nb-NO"/>
        </w:rPr>
        <w:t>fugleartar</w:t>
      </w:r>
      <w:proofErr w:type="spellEnd"/>
      <w:r>
        <w:rPr>
          <w:rFonts w:eastAsia="Times New Roman" w:cstheme="minorHAnsi"/>
          <w:i/>
          <w:color w:val="323232"/>
          <w:lang w:eastAsia="nb-NO"/>
        </w:rPr>
        <w:t xml:space="preserve"> og viser at vi har hatt relativt stabile </w:t>
      </w:r>
      <w:proofErr w:type="spellStart"/>
      <w:r>
        <w:rPr>
          <w:rFonts w:eastAsia="Times New Roman" w:cstheme="minorHAnsi"/>
          <w:i/>
          <w:color w:val="323232"/>
          <w:lang w:eastAsia="nb-NO"/>
        </w:rPr>
        <w:t>hekkebestandar</w:t>
      </w:r>
      <w:proofErr w:type="spellEnd"/>
      <w:r>
        <w:rPr>
          <w:rFonts w:eastAsia="Times New Roman" w:cstheme="minorHAnsi"/>
          <w:i/>
          <w:color w:val="323232"/>
          <w:lang w:eastAsia="nb-NO"/>
        </w:rPr>
        <w:t xml:space="preserve"> for </w:t>
      </w:r>
      <w:proofErr w:type="spellStart"/>
      <w:r>
        <w:rPr>
          <w:rFonts w:eastAsia="Times New Roman" w:cstheme="minorHAnsi"/>
          <w:i/>
          <w:color w:val="323232"/>
          <w:lang w:eastAsia="nb-NO"/>
        </w:rPr>
        <w:t>dei</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vanlege</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skogsartane</w:t>
      </w:r>
      <w:proofErr w:type="spellEnd"/>
      <w:r>
        <w:rPr>
          <w:rFonts w:eastAsia="Times New Roman" w:cstheme="minorHAnsi"/>
          <w:i/>
          <w:color w:val="323232"/>
          <w:lang w:eastAsia="nb-NO"/>
        </w:rPr>
        <w:t xml:space="preserve"> våre </w:t>
      </w:r>
      <w:proofErr w:type="spellStart"/>
      <w:r>
        <w:rPr>
          <w:rFonts w:eastAsia="Times New Roman" w:cstheme="minorHAnsi"/>
          <w:i/>
          <w:color w:val="323232"/>
          <w:lang w:eastAsia="nb-NO"/>
        </w:rPr>
        <w:t>dei</w:t>
      </w:r>
      <w:proofErr w:type="spellEnd"/>
      <w:r>
        <w:rPr>
          <w:rFonts w:eastAsia="Times New Roman" w:cstheme="minorHAnsi"/>
          <w:i/>
          <w:color w:val="323232"/>
          <w:lang w:eastAsia="nb-NO"/>
        </w:rPr>
        <w:t xml:space="preserve"> siste 20 åra. Dei aller fleste av </w:t>
      </w:r>
      <w:proofErr w:type="spellStart"/>
      <w:r>
        <w:rPr>
          <w:rFonts w:eastAsia="Times New Roman" w:cstheme="minorHAnsi"/>
          <w:i/>
          <w:color w:val="323232"/>
          <w:lang w:eastAsia="nb-NO"/>
        </w:rPr>
        <w:t>desse</w:t>
      </w:r>
      <w:proofErr w:type="spellEnd"/>
      <w:r>
        <w:rPr>
          <w:rFonts w:eastAsia="Times New Roman" w:cstheme="minorHAnsi"/>
          <w:i/>
          <w:color w:val="323232"/>
          <w:lang w:eastAsia="nb-NO"/>
        </w:rPr>
        <w:t xml:space="preserve">, som </w:t>
      </w:r>
      <w:proofErr w:type="spellStart"/>
      <w:r>
        <w:rPr>
          <w:rFonts w:eastAsia="Times New Roman" w:cstheme="minorHAnsi"/>
          <w:i/>
          <w:color w:val="323232"/>
          <w:lang w:eastAsia="nb-NO"/>
        </w:rPr>
        <w:t>svarttrast</w:t>
      </w:r>
      <w:proofErr w:type="spellEnd"/>
      <w:r>
        <w:rPr>
          <w:rFonts w:eastAsia="Times New Roman" w:cstheme="minorHAnsi"/>
          <w:i/>
          <w:color w:val="323232"/>
          <w:lang w:eastAsia="nb-NO"/>
        </w:rPr>
        <w:t xml:space="preserve">, bokfink og jernspurv, har </w:t>
      </w:r>
      <w:proofErr w:type="spellStart"/>
      <w:r>
        <w:rPr>
          <w:rFonts w:eastAsia="Times New Roman" w:cstheme="minorHAnsi"/>
          <w:i/>
          <w:color w:val="323232"/>
          <w:lang w:eastAsia="nb-NO"/>
        </w:rPr>
        <w:t>ikkje</w:t>
      </w:r>
      <w:proofErr w:type="spellEnd"/>
      <w:r>
        <w:rPr>
          <w:rFonts w:eastAsia="Times New Roman" w:cstheme="minorHAnsi"/>
          <w:i/>
          <w:color w:val="323232"/>
          <w:lang w:eastAsia="nb-NO"/>
        </w:rPr>
        <w:t xml:space="preserve"> hatt </w:t>
      </w:r>
      <w:proofErr w:type="spellStart"/>
      <w:r>
        <w:rPr>
          <w:rFonts w:eastAsia="Times New Roman" w:cstheme="minorHAnsi"/>
          <w:i/>
          <w:color w:val="323232"/>
          <w:lang w:eastAsia="nb-NO"/>
        </w:rPr>
        <w:t>nokon</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tydeleg</w:t>
      </w:r>
      <w:proofErr w:type="spellEnd"/>
      <w:r>
        <w:rPr>
          <w:rFonts w:eastAsia="Times New Roman" w:cstheme="minorHAnsi"/>
          <w:i/>
          <w:color w:val="323232"/>
          <w:lang w:eastAsia="nb-NO"/>
        </w:rPr>
        <w:t xml:space="preserve"> endring i perioden 1996-2017, men </w:t>
      </w:r>
      <w:proofErr w:type="spellStart"/>
      <w:r>
        <w:rPr>
          <w:rFonts w:eastAsia="Times New Roman" w:cstheme="minorHAnsi"/>
          <w:i/>
          <w:color w:val="323232"/>
          <w:lang w:eastAsia="nb-NO"/>
        </w:rPr>
        <w:t>nokre</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artar</w:t>
      </w:r>
      <w:proofErr w:type="spellEnd"/>
      <w:r>
        <w:rPr>
          <w:rFonts w:eastAsia="Times New Roman" w:cstheme="minorHAnsi"/>
          <w:i/>
          <w:color w:val="323232"/>
          <w:lang w:eastAsia="nb-NO"/>
        </w:rPr>
        <w:t xml:space="preserve"> som </w:t>
      </w:r>
      <w:proofErr w:type="spellStart"/>
      <w:r>
        <w:rPr>
          <w:rFonts w:eastAsia="Times New Roman" w:cstheme="minorHAnsi"/>
          <w:i/>
          <w:color w:val="323232"/>
          <w:lang w:eastAsia="nb-NO"/>
        </w:rPr>
        <w:t>måltrast</w:t>
      </w:r>
      <w:proofErr w:type="spellEnd"/>
      <w:r>
        <w:rPr>
          <w:rFonts w:eastAsia="Times New Roman" w:cstheme="minorHAnsi"/>
          <w:i/>
          <w:color w:val="323232"/>
          <w:lang w:eastAsia="nb-NO"/>
        </w:rPr>
        <w:t xml:space="preserve"> og </w:t>
      </w:r>
      <w:proofErr w:type="spellStart"/>
      <w:r>
        <w:rPr>
          <w:rFonts w:eastAsia="Times New Roman" w:cstheme="minorHAnsi"/>
          <w:i/>
          <w:color w:val="323232"/>
          <w:lang w:eastAsia="nb-NO"/>
        </w:rPr>
        <w:t>gransongar</w:t>
      </w:r>
      <w:proofErr w:type="spellEnd"/>
      <w:r>
        <w:rPr>
          <w:rFonts w:eastAsia="Times New Roman" w:cstheme="minorHAnsi"/>
          <w:i/>
          <w:color w:val="323232"/>
          <w:lang w:eastAsia="nb-NO"/>
        </w:rPr>
        <w:t xml:space="preserve"> har hatt </w:t>
      </w:r>
      <w:proofErr w:type="spellStart"/>
      <w:r>
        <w:rPr>
          <w:rFonts w:eastAsia="Times New Roman" w:cstheme="minorHAnsi"/>
          <w:i/>
          <w:color w:val="323232"/>
          <w:lang w:eastAsia="nb-NO"/>
        </w:rPr>
        <w:t>ein</w:t>
      </w:r>
      <w:proofErr w:type="spellEnd"/>
      <w:r>
        <w:rPr>
          <w:rFonts w:eastAsia="Times New Roman" w:cstheme="minorHAnsi"/>
          <w:i/>
          <w:color w:val="323232"/>
          <w:lang w:eastAsia="nb-NO"/>
        </w:rPr>
        <w:t xml:space="preserve"> liten </w:t>
      </w:r>
      <w:proofErr w:type="spellStart"/>
      <w:r>
        <w:rPr>
          <w:rFonts w:eastAsia="Times New Roman" w:cstheme="minorHAnsi"/>
          <w:i/>
          <w:color w:val="323232"/>
          <w:lang w:eastAsia="nb-NO"/>
        </w:rPr>
        <w:t>auke</w:t>
      </w:r>
      <w:proofErr w:type="spellEnd"/>
      <w:r>
        <w:rPr>
          <w:rFonts w:eastAsia="Times New Roman" w:cstheme="minorHAnsi"/>
          <w:i/>
          <w:color w:val="323232"/>
          <w:lang w:eastAsia="nb-NO"/>
        </w:rPr>
        <w:t xml:space="preserve"> og </w:t>
      </w:r>
      <w:proofErr w:type="spellStart"/>
      <w:r>
        <w:rPr>
          <w:rFonts w:eastAsia="Times New Roman" w:cstheme="minorHAnsi"/>
          <w:i/>
          <w:color w:val="323232"/>
          <w:lang w:eastAsia="nb-NO"/>
        </w:rPr>
        <w:t>nokre</w:t>
      </w:r>
      <w:proofErr w:type="spellEnd"/>
      <w:r>
        <w:rPr>
          <w:rFonts w:eastAsia="Times New Roman" w:cstheme="minorHAnsi"/>
          <w:i/>
          <w:color w:val="323232"/>
          <w:lang w:eastAsia="nb-NO"/>
        </w:rPr>
        <w:t xml:space="preserve"> </w:t>
      </w:r>
      <w:proofErr w:type="spellStart"/>
      <w:r>
        <w:rPr>
          <w:rFonts w:eastAsia="Times New Roman" w:cstheme="minorHAnsi"/>
          <w:i/>
          <w:color w:val="323232"/>
          <w:lang w:eastAsia="nb-NO"/>
        </w:rPr>
        <w:t>artar</w:t>
      </w:r>
      <w:proofErr w:type="spellEnd"/>
      <w:r>
        <w:rPr>
          <w:rFonts w:eastAsia="Times New Roman" w:cstheme="minorHAnsi"/>
          <w:i/>
          <w:color w:val="323232"/>
          <w:lang w:eastAsia="nb-NO"/>
        </w:rPr>
        <w:t xml:space="preserve"> som </w:t>
      </w:r>
      <w:proofErr w:type="spellStart"/>
      <w:r>
        <w:rPr>
          <w:rFonts w:eastAsia="Times New Roman" w:cstheme="minorHAnsi"/>
          <w:i/>
          <w:color w:val="323232"/>
          <w:lang w:eastAsia="nb-NO"/>
        </w:rPr>
        <w:t>raudstrupe</w:t>
      </w:r>
      <w:proofErr w:type="spellEnd"/>
      <w:r>
        <w:rPr>
          <w:rFonts w:eastAsia="Times New Roman" w:cstheme="minorHAnsi"/>
          <w:i/>
          <w:color w:val="323232"/>
          <w:lang w:eastAsia="nb-NO"/>
        </w:rPr>
        <w:t xml:space="preserve"> og </w:t>
      </w:r>
      <w:proofErr w:type="spellStart"/>
      <w:r>
        <w:rPr>
          <w:rFonts w:eastAsia="Times New Roman" w:cstheme="minorHAnsi"/>
          <w:i/>
          <w:color w:val="323232"/>
          <w:lang w:eastAsia="nb-NO"/>
        </w:rPr>
        <w:t>trepiplerke</w:t>
      </w:r>
      <w:proofErr w:type="spellEnd"/>
      <w:r>
        <w:rPr>
          <w:rFonts w:eastAsia="Times New Roman" w:cstheme="minorHAnsi"/>
          <w:i/>
          <w:color w:val="323232"/>
          <w:lang w:eastAsia="nb-NO"/>
        </w:rPr>
        <w:t xml:space="preserve"> har hatt </w:t>
      </w:r>
      <w:proofErr w:type="spellStart"/>
      <w:r>
        <w:rPr>
          <w:rFonts w:eastAsia="Times New Roman" w:cstheme="minorHAnsi"/>
          <w:i/>
          <w:color w:val="323232"/>
          <w:lang w:eastAsia="nb-NO"/>
        </w:rPr>
        <w:t>ein</w:t>
      </w:r>
      <w:proofErr w:type="spellEnd"/>
      <w:r>
        <w:rPr>
          <w:rFonts w:eastAsia="Times New Roman" w:cstheme="minorHAnsi"/>
          <w:i/>
          <w:color w:val="323232"/>
          <w:lang w:eastAsia="nb-NO"/>
        </w:rPr>
        <w:t xml:space="preserve"> liten nedgang. </w:t>
      </w:r>
    </w:p>
    <w:p w:rsidR="00D62F27" w:rsidRDefault="00D62F27" w:rsidP="00D62F27">
      <w:pPr>
        <w:spacing w:after="150" w:line="240" w:lineRule="auto"/>
        <w:ind w:left="708"/>
        <w:rPr>
          <w:rFonts w:eastAsia="Times New Roman" w:cstheme="minorHAnsi"/>
          <w:i/>
          <w:color w:val="323232"/>
          <w:lang w:eastAsia="nb-NO"/>
        </w:rPr>
      </w:pPr>
    </w:p>
    <w:p w:rsidR="00D62F27" w:rsidRDefault="00D62F27" w:rsidP="00D62F27">
      <w:pPr>
        <w:rPr>
          <w:b/>
        </w:rPr>
      </w:pPr>
      <w:r>
        <w:rPr>
          <w:b/>
        </w:rPr>
        <w:t>Hvilke hensyn tar skogbruket til hekkende fugler?</w:t>
      </w:r>
    </w:p>
    <w:p w:rsidR="00D62F27" w:rsidRDefault="00D62F27" w:rsidP="00D62F27">
      <w:r>
        <w:t xml:space="preserve">Skogbrukets hensyn til fugler er pr. i dag basert på faktagrunnlag i avsnittene over og konkretisert i kravpunkt i </w:t>
      </w:r>
      <w:r>
        <w:rPr>
          <w:b/>
          <w:color w:val="000000"/>
        </w:rPr>
        <w:t>Norsk PEFC Skogstandard.</w:t>
      </w:r>
    </w:p>
    <w:p w:rsidR="00D62F27" w:rsidRDefault="00D62F27" w:rsidP="00D62F27">
      <w:pPr>
        <w:rPr>
          <w:color w:val="000000"/>
          <w:u w:val="single"/>
        </w:rPr>
      </w:pPr>
      <w:r>
        <w:rPr>
          <w:color w:val="000000"/>
        </w:rPr>
        <w:lastRenderedPageBreak/>
        <w:t>Hensyn til rødlista fugler:</w:t>
      </w:r>
    </w:p>
    <w:p w:rsidR="00D62F27" w:rsidRDefault="00D62F27" w:rsidP="00D62F27">
      <w:r>
        <w:t xml:space="preserve">Seks av artene tar skogbruket konkrete hensyn til gjennom Norsk PEFC Skogstandard, </w:t>
      </w:r>
      <w:r>
        <w:rPr>
          <w:b/>
        </w:rPr>
        <w:t>kravpunkt 22</w:t>
      </w:r>
      <w:r>
        <w:t xml:space="preserve"> Hensyn til rovfugler og ugler. Det gjelder artene hønsehauk NT hubro EN, fiskeørn NT, vepsevåk NT, lappugle VU og slagugle VU. </w:t>
      </w:r>
    </w:p>
    <w:p w:rsidR="00D62F27" w:rsidRDefault="00D62F27" w:rsidP="00D62F27">
      <w:r>
        <w:t xml:space="preserve">De øvrige åtte artene på rødlista hekker ikke i skog som i særlig grad er aktuelle for hogst i hekkesesongen. Disse artene er: </w:t>
      </w:r>
      <w:proofErr w:type="spellStart"/>
      <w:r>
        <w:t>Rosenfink</w:t>
      </w:r>
      <w:proofErr w:type="spellEnd"/>
      <w:r>
        <w:t xml:space="preserve"> VU, hekker i yngre åpen skog. Gjøk NT, hekker i fjellskog og myrskoger der den finner reir til heipiplerke. Dvergspurv VU og vierspurv CR, hekker i tilknytning til fuktige myr/sumpskoger. Lerkefalk NT, hekker i gamle kråkereir i trær i kantsonen inn til større myrer. Lirype NT, hekker i fjellskog og høyereliggende bjørkeskog. </w:t>
      </w:r>
      <w:proofErr w:type="spellStart"/>
      <w:r>
        <w:t>Trelerke</w:t>
      </w:r>
      <w:proofErr w:type="spellEnd"/>
      <w:r>
        <w:t xml:space="preserve"> NT, hekker i åpen furuskog i tilknytning til åkerlandskap og større myrer. Lappsanger EN, hekker i </w:t>
      </w:r>
      <w:proofErr w:type="spellStart"/>
      <w:r>
        <w:t>løvdominert</w:t>
      </w:r>
      <w:proofErr w:type="spellEnd"/>
      <w:r>
        <w:t xml:space="preserve"> myrskog i Finnmark.  Disse artene og de arter som ikke er på rødlista tas det hensyn til gjennom følgende kravpunkt i Norsk PEFC Skogstandard:</w:t>
      </w:r>
    </w:p>
    <w:p w:rsidR="00D62F27" w:rsidRDefault="00D62F27" w:rsidP="00D62F27">
      <w:bookmarkStart w:id="0" w:name="_Hlk510687640"/>
      <w:r>
        <w:rPr>
          <w:b/>
        </w:rPr>
        <w:t>Kravpunkt</w:t>
      </w:r>
      <w:bookmarkEnd w:id="0"/>
      <w:r>
        <w:rPr>
          <w:b/>
        </w:rPr>
        <w:t xml:space="preserve"> 3</w:t>
      </w:r>
      <w:r>
        <w:t xml:space="preserve"> Planlegging i skogbruket. Bl.a. innhente informasjon i offentlige databaser om hekkende sårbare fugler.</w:t>
      </w:r>
    </w:p>
    <w:p w:rsidR="00D62F27" w:rsidRDefault="00D62F27" w:rsidP="00D62F27">
      <w:r>
        <w:rPr>
          <w:b/>
        </w:rPr>
        <w:t>Kravpunkt</w:t>
      </w:r>
      <w:r>
        <w:t xml:space="preserve"> </w:t>
      </w:r>
      <w:r>
        <w:rPr>
          <w:b/>
        </w:rPr>
        <w:t xml:space="preserve">10 </w:t>
      </w:r>
      <w:r>
        <w:t xml:space="preserve">Hogst.  Krav om hvor det skal brukes lukket hogstform. F. eks i edellauvskog og sumpskog. </w:t>
      </w:r>
    </w:p>
    <w:p w:rsidR="00D62F27" w:rsidRDefault="00D62F27" w:rsidP="00D62F27">
      <w:r>
        <w:rPr>
          <w:b/>
        </w:rPr>
        <w:t>Kravpunkt</w:t>
      </w:r>
      <w:r>
        <w:t xml:space="preserve"> </w:t>
      </w:r>
      <w:r>
        <w:rPr>
          <w:b/>
        </w:rPr>
        <w:t>12</w:t>
      </w:r>
      <w:r>
        <w:t xml:space="preserve"> Livsløpstrær og døde trær. Bl.a. spare trær med «hakkespetthull».</w:t>
      </w:r>
    </w:p>
    <w:p w:rsidR="00D62F27" w:rsidRDefault="00D62F27" w:rsidP="00D62F27">
      <w:r>
        <w:rPr>
          <w:b/>
        </w:rPr>
        <w:t>Kravpunkt</w:t>
      </w:r>
      <w:r>
        <w:t xml:space="preserve"> </w:t>
      </w:r>
      <w:r>
        <w:rPr>
          <w:b/>
        </w:rPr>
        <w:t xml:space="preserve">21 </w:t>
      </w:r>
      <w:r>
        <w:t>Nøkkelbiotoper. Til nå er det satt av ca. 70.000 nøkkelbiotoper med et produktivt areal på ca.  750.000 dekar. Dette er først og fremst konsentrasjonene av døde trær, grove løvtrær og gamle trær.</w:t>
      </w:r>
    </w:p>
    <w:p w:rsidR="00D62F27" w:rsidRDefault="00D62F27" w:rsidP="00D62F27">
      <w:r>
        <w:rPr>
          <w:b/>
        </w:rPr>
        <w:t>Kravpunkt</w:t>
      </w:r>
      <w:r>
        <w:t xml:space="preserve"> </w:t>
      </w:r>
      <w:r>
        <w:rPr>
          <w:b/>
        </w:rPr>
        <w:t>23</w:t>
      </w:r>
      <w:r>
        <w:t xml:space="preserve"> Hensyn til tiurleiker. Det antas at det finnes ca. 8.000 til 10.000 leiker.</w:t>
      </w:r>
    </w:p>
    <w:p w:rsidR="00D62F27" w:rsidRDefault="00D62F27" w:rsidP="00D62F27">
      <w:r>
        <w:rPr>
          <w:b/>
        </w:rPr>
        <w:t>Kravpunkt</w:t>
      </w:r>
      <w:r>
        <w:t xml:space="preserve"> </w:t>
      </w:r>
      <w:r>
        <w:rPr>
          <w:b/>
        </w:rPr>
        <w:t>24</w:t>
      </w:r>
      <w:r>
        <w:t xml:space="preserve"> Vannbeskyttelse. Mer enn 3 % av skogarealet. Det skal settes igjen eller etableres stabile kantsoner til vann og vassdrag. </w:t>
      </w:r>
    </w:p>
    <w:p w:rsidR="00D62F27" w:rsidRDefault="00D62F27" w:rsidP="00D62F27">
      <w:r>
        <w:rPr>
          <w:b/>
        </w:rPr>
        <w:t>Kravpunkt</w:t>
      </w:r>
      <w:r>
        <w:t xml:space="preserve"> </w:t>
      </w:r>
      <w:r>
        <w:rPr>
          <w:b/>
        </w:rPr>
        <w:t>25</w:t>
      </w:r>
      <w:r>
        <w:t xml:space="preserve"> Myr og sumpskog. Ca. 9% av skogarealet. </w:t>
      </w:r>
      <w:proofErr w:type="spellStart"/>
      <w:r>
        <w:t>Tresatt</w:t>
      </w:r>
      <w:proofErr w:type="spellEnd"/>
      <w:r>
        <w:t xml:space="preserve"> myr og sumpskog = ca. 5 % og kantsoner til disse ca. 4 %. Spare viktige sumpskoger og skog i kantsoner for bl.a. å sikre blåbær som er viktig for insekter og dermed fugler.</w:t>
      </w:r>
    </w:p>
    <w:p w:rsidR="00D62F27" w:rsidRDefault="00D62F27" w:rsidP="00D62F27">
      <w:pPr>
        <w:rPr>
          <w:color w:val="000000"/>
        </w:rPr>
      </w:pPr>
      <w:r>
        <w:rPr>
          <w:color w:val="000000"/>
        </w:rPr>
        <w:t xml:space="preserve">Se Norsk PEFC Skogstandard: </w:t>
      </w:r>
      <w:hyperlink r:id="rId9" w:history="1">
        <w:r>
          <w:rPr>
            <w:rStyle w:val="Hyperkobling"/>
          </w:rPr>
          <w:t>http://www.pefcnorge.org/vedl/PEFC%20N%2002_Norsk%20PEFC%20Skogstandard_Juni%202016_.pdf</w:t>
        </w:r>
      </w:hyperlink>
      <w:r>
        <w:rPr>
          <w:color w:val="000000"/>
        </w:rPr>
        <w:t xml:space="preserve">  </w:t>
      </w:r>
    </w:p>
    <w:p w:rsidR="00D62F27" w:rsidRDefault="00D62F27" w:rsidP="00D62F27">
      <w:r>
        <w:rPr>
          <w:color w:val="000000"/>
        </w:rPr>
        <w:t> </w:t>
      </w:r>
    </w:p>
    <w:p w:rsidR="00D62F27" w:rsidRDefault="00D62F27" w:rsidP="00D62F27">
      <w:pPr>
        <w:rPr>
          <w:b/>
        </w:rPr>
      </w:pPr>
      <w:r>
        <w:rPr>
          <w:b/>
        </w:rPr>
        <w:t>Hvor stort areal hogges i hekkeperioden og hvor mange par fugler kan det være der?</w:t>
      </w:r>
    </w:p>
    <w:p w:rsidR="00440686" w:rsidRDefault="00D62F27" w:rsidP="00D62F27">
      <w:r>
        <w:t xml:space="preserve">Resultatkontrollen for skogen i Norge viser at det jevnt over hvert år hogges og forynges ca. 400 000 dekar skog gjennom flatehogst og frøtrestillingshogst. Dette er også vurdert til å være et gjennomsnittlig foryngelsesareal pr. år siden skogbruket la om til bestandsskogbruk etter siste verdenskrig. </w:t>
      </w:r>
      <w:r w:rsidR="00440686">
        <w:t>Det vil si at ca. 35 % av den produktive skogen er forynget med flatehogst/ frøtrestillingshogst siden siste</w:t>
      </w:r>
      <w:r w:rsidR="00A400F6">
        <w:t xml:space="preserve"> </w:t>
      </w:r>
      <w:bookmarkStart w:id="1" w:name="_GoBack"/>
      <w:bookmarkEnd w:id="1"/>
      <w:r w:rsidR="00440686">
        <w:t>verdenskrig.</w:t>
      </w:r>
    </w:p>
    <w:p w:rsidR="00D62F27" w:rsidRDefault="00D62F27" w:rsidP="00D62F27">
      <w:r>
        <w:t xml:space="preserve">Av totalt skogareal på 120 mill. dekar vil det si at det </w:t>
      </w:r>
      <w:r>
        <w:rPr>
          <w:b/>
        </w:rPr>
        <w:t xml:space="preserve">hogges </w:t>
      </w:r>
      <w:r>
        <w:t>på</w:t>
      </w:r>
      <w:r>
        <w:rPr>
          <w:b/>
        </w:rPr>
        <w:t xml:space="preserve"> 0,33 % av arealet</w:t>
      </w:r>
      <w:r>
        <w:t xml:space="preserve"> pr. år som flatehogst/frøtrestillingshogst.</w:t>
      </w:r>
    </w:p>
    <w:p w:rsidR="00D62F27" w:rsidRDefault="00D62F27" w:rsidP="00D62F27">
      <w:r>
        <w:t xml:space="preserve">De siste årene viser statistikk fra SSB at det er gjennomført hogst på litt over </w:t>
      </w:r>
      <w:r>
        <w:rPr>
          <w:b/>
        </w:rPr>
        <w:t>14 000 skog- eiendommer pr. år</w:t>
      </w:r>
      <w:r>
        <w:t xml:space="preserve">. På de fleste eiendommene er det en hogst, men på større kan det være flere. </w:t>
      </w:r>
      <w:r>
        <w:lastRenderedPageBreak/>
        <w:t xml:space="preserve">Legger en til grunn at det hogges på ca. 16 000 steder blir hver åpen hogst er på </w:t>
      </w:r>
      <w:r>
        <w:rPr>
          <w:b/>
        </w:rPr>
        <w:t>ca. 25 dekar</w:t>
      </w:r>
      <w:r>
        <w:t xml:space="preserve"> i gjennomsnitt.</w:t>
      </w:r>
    </w:p>
    <w:p w:rsidR="00D62F27" w:rsidRDefault="00D62F27" w:rsidP="00D62F27">
      <w:r>
        <w:t xml:space="preserve">Hekkesesongen til fuglene er ca. 3 mnd. Og i den perioden inngår også ferie for de som hogger. Vurderer en at det er hogst ca. 2,5 mnd. i hekkeperioden foregår det hogst i den perioden på ca. 3300 steder, og med et ca. areal på 25 dekar hogges ca. 82.500 dekar. </w:t>
      </w:r>
      <w:r>
        <w:rPr>
          <w:b/>
        </w:rPr>
        <w:t>Det er 0,07 % av skogarealet</w:t>
      </w:r>
      <w:r>
        <w:t xml:space="preserve"> eller avrundet </w:t>
      </w:r>
      <w:r>
        <w:rPr>
          <w:b/>
        </w:rPr>
        <w:t>ca. 0,1 % av skogarealet.</w:t>
      </w:r>
      <w:r>
        <w:t xml:space="preserve"> </w:t>
      </w:r>
    </w:p>
    <w:p w:rsidR="00D62F27" w:rsidRDefault="00D62F27" w:rsidP="00D62F27">
      <w:pPr>
        <w:rPr>
          <w:b/>
        </w:rPr>
      </w:pPr>
      <w:r>
        <w:t xml:space="preserve">Vurdert til at det for det meste er </w:t>
      </w:r>
      <w:proofErr w:type="spellStart"/>
      <w:r>
        <w:t>enetasjet</w:t>
      </w:r>
      <w:proofErr w:type="spellEnd"/>
      <w:r>
        <w:t xml:space="preserve"> eldre skog i </w:t>
      </w:r>
      <w:proofErr w:type="spellStart"/>
      <w:r>
        <w:t>hkl</w:t>
      </w:r>
      <w:proofErr w:type="spellEnd"/>
      <w:r>
        <w:t xml:space="preserve"> 4 og 5 med 0,1 hekkende par pr dekar som hogges i </w:t>
      </w:r>
      <w:proofErr w:type="spellStart"/>
      <w:r>
        <w:t>hekesesongen</w:t>
      </w:r>
      <w:proofErr w:type="spellEnd"/>
      <w:r>
        <w:t xml:space="preserve"> så kan </w:t>
      </w:r>
      <w:r>
        <w:rPr>
          <w:b/>
        </w:rPr>
        <w:t>ca. 8 500 par berøres</w:t>
      </w:r>
      <w:r>
        <w:t xml:space="preserve">.  Det vil si at ca. 3 par per hogst kan berøres. Av alle par som hekker i skogen utgjør det 0,027 eller </w:t>
      </w:r>
      <w:r>
        <w:rPr>
          <w:b/>
        </w:rPr>
        <w:t>ca. 0,03 %.</w:t>
      </w:r>
    </w:p>
    <w:p w:rsidR="00D62F27" w:rsidRDefault="00D62F27" w:rsidP="00D62F27">
      <w:r>
        <w:t xml:space="preserve">Fugler som kan forstyrres av hogst tidlig i hekkesesongen vil mormalt flytte og etablere nytt hekkested. Fugleunger som har flydd av reiret vil i de aller fleste tilfeller trolig påvirkes lite av at det pågår hogst. Det er grunn til å anta at det er få reir som påvirkes så mye at hekkingen blir totalt mislykket og om det skulle skje så vil det ikke omfatte fugler som for tiden er rødlistet. Risikoen for at hogst i hekketiden generelt kan ha negativ betydning for populasjonsstørrelsen for fuglearter som ikke er rødlista bør derfor være liten. </w:t>
      </w:r>
    </w:p>
    <w:p w:rsidR="00B44A8A" w:rsidRDefault="00B44A8A" w:rsidP="00D62F27">
      <w:pPr>
        <w:rPr>
          <w:b/>
        </w:rPr>
      </w:pPr>
      <w:r w:rsidRPr="00B44A8A">
        <w:rPr>
          <w:b/>
        </w:rPr>
        <w:t>Hensyn til fugler i hekkesesongen</w:t>
      </w:r>
    </w:p>
    <w:p w:rsidR="00B44A8A" w:rsidRPr="00440686" w:rsidRDefault="00B44A8A" w:rsidP="00B44A8A">
      <w:pPr>
        <w:shd w:val="clear" w:color="auto" w:fill="FFFFFF"/>
        <w:spacing w:before="300" w:after="150" w:line="240" w:lineRule="auto"/>
        <w:outlineLvl w:val="2"/>
        <w:rPr>
          <w:rFonts w:ascii="Calibri" w:eastAsia="Times New Roman" w:hAnsi="Calibri" w:cs="Calibri"/>
          <w:i/>
          <w:color w:val="333333"/>
          <w:lang w:eastAsia="nb-NO"/>
        </w:rPr>
      </w:pPr>
      <w:r>
        <w:rPr>
          <w:rFonts w:ascii="Calibri" w:eastAsia="Times New Roman" w:hAnsi="Calibri" w:cs="Calibri"/>
          <w:color w:val="333333"/>
          <w:lang w:eastAsia="nb-NO"/>
        </w:rPr>
        <w:t>PEFC Norge vedtok 5. april 2019 følgende r</w:t>
      </w:r>
      <w:r w:rsidRPr="00B44A8A">
        <w:rPr>
          <w:rFonts w:ascii="Calibri" w:eastAsia="Times New Roman" w:hAnsi="Calibri" w:cs="Calibri"/>
          <w:color w:val="333333"/>
          <w:lang w:eastAsia="nb-NO"/>
        </w:rPr>
        <w:t xml:space="preserve">etningslinjer knyttet til hogst i fuglenes </w:t>
      </w:r>
      <w:proofErr w:type="gramStart"/>
      <w:r w:rsidRPr="00B44A8A">
        <w:rPr>
          <w:rFonts w:ascii="Calibri" w:eastAsia="Times New Roman" w:hAnsi="Calibri" w:cs="Calibri"/>
          <w:color w:val="333333"/>
          <w:lang w:eastAsia="nb-NO"/>
        </w:rPr>
        <w:t>hekkesesong:</w:t>
      </w:r>
      <w:r w:rsidR="00440686">
        <w:rPr>
          <w:rFonts w:ascii="Calibri" w:eastAsia="Times New Roman" w:hAnsi="Calibri" w:cs="Calibri"/>
          <w:color w:val="333333"/>
          <w:lang w:eastAsia="nb-NO"/>
        </w:rPr>
        <w:t xml:space="preserve">   </w:t>
      </w:r>
      <w:proofErr w:type="gramEnd"/>
      <w:r>
        <w:rPr>
          <w:rFonts w:ascii="Calibri" w:eastAsia="Times New Roman" w:hAnsi="Calibri" w:cs="Calibri"/>
          <w:color w:val="333333"/>
          <w:lang w:eastAsia="nb-NO"/>
        </w:rPr>
        <w:t xml:space="preserve"> </w:t>
      </w:r>
      <w:r w:rsidRPr="00440686">
        <w:rPr>
          <w:rFonts w:ascii="Calibri" w:eastAsia="Times New Roman" w:hAnsi="Calibri" w:cs="Calibri"/>
          <w:i/>
          <w:color w:val="333333"/>
          <w:lang w:eastAsia="nb-NO"/>
        </w:rPr>
        <w:t>Det skal legges vekt på å unngå skogsdrift i perioden mai, juni og juli i skog av spesiell betydning for fuglelivet, som eldre (hkl.4 og 5) sjiktet lauvtredominert skog. Med skogsdrift menes maskinell hogst av skogsvirke til industriformål av et visst omfang.</w:t>
      </w:r>
    </w:p>
    <w:p w:rsidR="00B44A8A" w:rsidRPr="00B44A8A" w:rsidRDefault="00B44A8A" w:rsidP="00B44A8A">
      <w:pPr>
        <w:shd w:val="clear" w:color="auto" w:fill="FFFFFF"/>
        <w:spacing w:before="300" w:after="150" w:line="240" w:lineRule="auto"/>
        <w:outlineLvl w:val="2"/>
        <w:rPr>
          <w:rFonts w:ascii="Calibri" w:eastAsia="Times New Roman" w:hAnsi="Calibri" w:cs="Calibri"/>
          <w:color w:val="333333"/>
          <w:lang w:eastAsia="nb-NO"/>
        </w:rPr>
      </w:pPr>
      <w:r>
        <w:rPr>
          <w:rFonts w:ascii="Calibri" w:eastAsia="Times New Roman" w:hAnsi="Calibri" w:cs="Calibri"/>
          <w:color w:val="333333"/>
          <w:lang w:eastAsia="nb-NO"/>
        </w:rPr>
        <w:t>Se også:</w:t>
      </w:r>
      <w:r w:rsidRPr="00B44A8A">
        <w:t xml:space="preserve"> </w:t>
      </w:r>
      <w:hyperlink r:id="rId10" w:history="1">
        <w:r w:rsidRPr="00B44A8A">
          <w:rPr>
            <w:color w:val="0000FF"/>
            <w:u w:val="single"/>
          </w:rPr>
          <w:t>https://www.pefc.no/news_articles/nye-retningslinjer-knyttet-til-hogst-i-fuglenes-hekkesesong</w:t>
        </w:r>
      </w:hyperlink>
    </w:p>
    <w:p w:rsidR="00B44A8A" w:rsidRPr="00B44A8A" w:rsidRDefault="00B44A8A" w:rsidP="00D62F27">
      <w:pPr>
        <w:rPr>
          <w:b/>
        </w:rPr>
      </w:pPr>
    </w:p>
    <w:p w:rsidR="00D62F27" w:rsidRDefault="00D62F27" w:rsidP="00D62F27">
      <w:pPr>
        <w:rPr>
          <w:b/>
        </w:rPr>
      </w:pPr>
      <w:r>
        <w:rPr>
          <w:b/>
        </w:rPr>
        <w:t>Vurdering av ikke naturlige predatorers uttak av fugler</w:t>
      </w:r>
    </w:p>
    <w:p w:rsidR="00D62F27" w:rsidRDefault="00D62F27" w:rsidP="00D62F27">
      <w:r>
        <w:t xml:space="preserve">Det finnes ingen etterprøvbare opplysninger om hvor mye hogst i hekkeperioden påvirker artene på sikt. Av internasjonale publiserte opplysninger fra USA og Canada er det katter, som ikke er naturlig predasjon, som dreper flest fugler. Av en samlet hekkebestand i Nord-Amerika på mellom 15 og 20 milliarder fugler er det beregnet at ca. 105 mill. katter tar ca. 700 mill. fugler.  Selv med så store tall blir avgangen liten i prosent. For noen arter mener enkelte forskere at det kan ha betydning for nedgang i populasjonen, men de fleste mener at årsaken til at arter minker i hovedsak skyldes at de får mindre tilgang til mat som følge av arealendring skapt av menneskelig aktivitet. I Canada er det også gjort en vurdering av hva ikke naturlige predatorer dreper av fugler. Der er det beregnet tall for hva katter, kraftledninger, biler, hus/vinduer, jakt og bruk av sprøytemidler tar av fugler. Katter tar ca. 10 til 40 ganger flere fugler enn hver av de andre kategoriene. Skogbruksaktivitet om våren har ingen dokumentert statistikk i disse vurderingene.  </w:t>
      </w:r>
    </w:p>
    <w:p w:rsidR="00D62F27" w:rsidRDefault="00D62F27" w:rsidP="00D62F27">
      <w:r>
        <w:t xml:space="preserve">Fra USA foreligger beregninger om at det bare i New York City dør ca. 90 000 fugler hvert år i kollisjon med bygninger og at dette for USA betyr at minst 300 mill. fugler dør på denne måten hvert år. (Toppdykkeren nr. 3-2018 Norsk Ornitologisk Forening, Oslo og Akershus.) </w:t>
      </w:r>
    </w:p>
    <w:p w:rsidR="00D62F27" w:rsidRDefault="00D62F27" w:rsidP="00D62F27">
      <w:r>
        <w:t xml:space="preserve">I Norge er det for tiden ca. 750 000 katter. Om de dreper samme antall fugler som i Nord-Amerika, det vil si ca. 6,7 pr. fugl pr. år, dreper norske katter ca. 5 mill. fugler pr. år. Norsk Ornitologisk forening har 2019 vurdert at 750 000 katter i Norge hvert år dreper ca. 7 mill. fugler. Grunnlaget for </w:t>
      </w:r>
      <w:r>
        <w:lastRenderedPageBreak/>
        <w:t xml:space="preserve">denne vurderingen er en undersøkelse fra Sverige hvor det i et område ble konstatert at katter i gjennomsnitt tok 10 fugler pr år. Se: </w:t>
      </w:r>
      <w:hyperlink r:id="rId11" w:history="1">
        <w:r>
          <w:rPr>
            <w:rStyle w:val="Hyperkobling"/>
          </w:rPr>
          <w:t>http://www.birdlife.no/prosjekter/nyheter/?id=2288</w:t>
        </w:r>
      </w:hyperlink>
    </w:p>
    <w:p w:rsidR="00D62F27" w:rsidRDefault="00D62F27" w:rsidP="00D62F27">
      <w:r>
        <w:t>Kraftledninger og elektrokusjon dreper også mange fugler i Norge. Dette er først og fremst større fugler. Her finnes det ikke oppsummerte tall for antall drepte fugler, men det er ut ifra forskningsresultater anslått at inn til 10 % av dødeligheten hos storfugl og orrfugl skyldes kollisjon med kraftledninger.</w:t>
      </w:r>
    </w:p>
    <w:p w:rsidR="00D62F27" w:rsidRDefault="00D62F27" w:rsidP="00D62F27"/>
    <w:p w:rsidR="00D62F27" w:rsidRDefault="00D62F27" w:rsidP="00D62F27">
      <w:pPr>
        <w:spacing w:after="0" w:line="240" w:lineRule="auto"/>
        <w:rPr>
          <w:rFonts w:ascii="Calibri" w:eastAsia="Times New Roman" w:hAnsi="Calibri" w:cs="Calibri"/>
          <w:b/>
          <w:color w:val="000000"/>
          <w:sz w:val="28"/>
          <w:szCs w:val="28"/>
          <w:lang w:eastAsia="nb-NO"/>
        </w:rPr>
      </w:pPr>
      <w:r>
        <w:rPr>
          <w:rFonts w:ascii="Calibri" w:eastAsia="Times New Roman" w:hAnsi="Calibri" w:cs="Calibri"/>
          <w:b/>
          <w:color w:val="000000"/>
          <w:sz w:val="28"/>
          <w:szCs w:val="28"/>
          <w:lang w:eastAsia="nb-NO"/>
        </w:rPr>
        <w:t>Fuglearter som lever/hekker i skog</w:t>
      </w:r>
    </w:p>
    <w:p w:rsidR="00D62F27" w:rsidRDefault="00D62F27" w:rsidP="00D62F27">
      <w:r>
        <w:t xml:space="preserve">Estimert ut ifra Norsk Ornitologisk forenings (NOF) Rapport 2- 2015, </w:t>
      </w:r>
      <w:r>
        <w:rPr>
          <w:b/>
        </w:rPr>
        <w:t xml:space="preserve">Bestandsestimater for norske hekkefugler. </w:t>
      </w:r>
      <w:r>
        <w:t>For noen arter er bare deler av populasjonen tatt med da de også lever/hekker andre steder enn i skog.</w:t>
      </w:r>
    </w:p>
    <w:tbl>
      <w:tblPr>
        <w:tblW w:w="10534" w:type="dxa"/>
        <w:tblCellMar>
          <w:left w:w="70" w:type="dxa"/>
          <w:right w:w="70" w:type="dxa"/>
        </w:tblCellMar>
        <w:tblLook w:val="04A0" w:firstRow="1" w:lastRow="0" w:firstColumn="1" w:lastColumn="0" w:noHBand="0" w:noVBand="1"/>
      </w:tblPr>
      <w:tblGrid>
        <w:gridCol w:w="1540"/>
        <w:gridCol w:w="980"/>
        <w:gridCol w:w="1080"/>
        <w:gridCol w:w="714"/>
        <w:gridCol w:w="1040"/>
        <w:gridCol w:w="1040"/>
        <w:gridCol w:w="820"/>
        <w:gridCol w:w="860"/>
        <w:gridCol w:w="760"/>
        <w:gridCol w:w="1700"/>
      </w:tblGrid>
      <w:tr w:rsidR="00D62F27" w:rsidTr="00D62F27">
        <w:trPr>
          <w:trHeight w:val="300"/>
        </w:trPr>
        <w:tc>
          <w:tcPr>
            <w:tcW w:w="1540" w:type="dxa"/>
            <w:vMerge w:val="restart"/>
            <w:tcBorders>
              <w:top w:val="single" w:sz="4" w:space="0" w:color="auto"/>
              <w:left w:val="single" w:sz="4" w:space="0" w:color="auto"/>
              <w:bottom w:val="single" w:sz="4" w:space="0" w:color="auto"/>
              <w:right w:val="single" w:sz="4" w:space="0" w:color="auto"/>
            </w:tcBorders>
            <w:shd w:val="clear" w:color="auto" w:fill="C6E0B4"/>
            <w:noWrap/>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Art</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Antall hekkende par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Standfugl/ trekkfugl</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Rødliste-status 2015</w:t>
            </w:r>
          </w:p>
        </w:tc>
        <w:tc>
          <w:tcPr>
            <w:tcW w:w="4520" w:type="dxa"/>
            <w:gridSpan w:val="5"/>
            <w:tcBorders>
              <w:top w:val="single" w:sz="4" w:space="0" w:color="auto"/>
              <w:left w:val="nil"/>
              <w:bottom w:val="single" w:sz="4" w:space="0" w:color="auto"/>
              <w:right w:val="single" w:sz="4" w:space="0" w:color="auto"/>
            </w:tcBorders>
            <w:shd w:val="clear" w:color="auto" w:fill="C6E0B4"/>
            <w:noWrap/>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Skogtyper hvor arten primært lever/hekker</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C6E0B4"/>
            <w:noWrap/>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Merknad</w:t>
            </w:r>
          </w:p>
        </w:tc>
      </w:tr>
      <w:tr w:rsidR="00D62F27" w:rsidTr="00D62F27">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F27" w:rsidRDefault="00D62F27">
            <w:pPr>
              <w:spacing w:after="0" w:line="256" w:lineRule="auto"/>
              <w:rPr>
                <w:rFonts w:ascii="Calibri" w:eastAsia="Times New Roman" w:hAnsi="Calibri" w:cs="Calibri"/>
                <w:color w:val="000000"/>
                <w:sz w:val="16"/>
                <w:szCs w:val="16"/>
                <w:lang w:eastAsia="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F27" w:rsidRDefault="00D62F27">
            <w:pPr>
              <w:spacing w:after="0" w:line="256" w:lineRule="auto"/>
              <w:rPr>
                <w:rFonts w:ascii="Calibri" w:eastAsia="Times New Roman" w:hAnsi="Calibri" w:cs="Calibri"/>
                <w:color w:val="000000"/>
                <w:sz w:val="16"/>
                <w:szCs w:val="16"/>
                <w:lang w:eastAsia="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F27" w:rsidRDefault="00D62F27">
            <w:pPr>
              <w:spacing w:after="0" w:line="256" w:lineRule="auto"/>
              <w:rPr>
                <w:rFonts w:ascii="Calibri" w:eastAsia="Times New Roman" w:hAnsi="Calibri" w:cs="Calibri"/>
                <w:color w:val="000000"/>
                <w:sz w:val="16"/>
                <w:szCs w:val="16"/>
                <w:lang w:eastAsia="nb-N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F27" w:rsidRDefault="00D62F27">
            <w:pPr>
              <w:spacing w:after="0" w:line="256" w:lineRule="auto"/>
              <w:rPr>
                <w:rFonts w:ascii="Calibri" w:eastAsia="Times New Roman" w:hAnsi="Calibri" w:cs="Calibri"/>
                <w:color w:val="000000"/>
                <w:sz w:val="16"/>
                <w:szCs w:val="16"/>
                <w:lang w:eastAsia="nb-NO"/>
              </w:rPr>
            </w:pPr>
          </w:p>
        </w:tc>
        <w:tc>
          <w:tcPr>
            <w:tcW w:w="1040" w:type="dxa"/>
            <w:tcBorders>
              <w:top w:val="nil"/>
              <w:left w:val="nil"/>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 xml:space="preserve">Eldre </w:t>
            </w:r>
            <w:proofErr w:type="spellStart"/>
            <w:r>
              <w:rPr>
                <w:rFonts w:ascii="Calibri" w:eastAsia="Times New Roman" w:hAnsi="Calibri" w:cs="Calibri"/>
                <w:color w:val="000000"/>
                <w:sz w:val="16"/>
                <w:szCs w:val="16"/>
                <w:lang w:eastAsia="nb-NO"/>
              </w:rPr>
              <w:t>énetasjet</w:t>
            </w:r>
            <w:proofErr w:type="spellEnd"/>
            <w:r>
              <w:rPr>
                <w:rFonts w:ascii="Calibri" w:eastAsia="Times New Roman" w:hAnsi="Calibri" w:cs="Calibri"/>
                <w:color w:val="000000"/>
                <w:sz w:val="16"/>
                <w:szCs w:val="16"/>
                <w:lang w:eastAsia="nb-NO"/>
              </w:rPr>
              <w:t xml:space="preserve"> barskog</w:t>
            </w:r>
          </w:p>
        </w:tc>
        <w:tc>
          <w:tcPr>
            <w:tcW w:w="1040" w:type="dxa"/>
            <w:tcBorders>
              <w:top w:val="nil"/>
              <w:left w:val="nil"/>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 xml:space="preserve">Eldre to- og </w:t>
            </w:r>
            <w:proofErr w:type="spellStart"/>
            <w:r>
              <w:rPr>
                <w:rFonts w:ascii="Calibri" w:eastAsia="Times New Roman" w:hAnsi="Calibri" w:cs="Calibri"/>
                <w:color w:val="000000"/>
                <w:sz w:val="16"/>
                <w:szCs w:val="16"/>
                <w:lang w:eastAsia="nb-NO"/>
              </w:rPr>
              <w:t>fleretasjet</w:t>
            </w:r>
            <w:proofErr w:type="spellEnd"/>
            <w:r>
              <w:rPr>
                <w:rFonts w:ascii="Calibri" w:eastAsia="Times New Roman" w:hAnsi="Calibri" w:cs="Calibri"/>
                <w:color w:val="000000"/>
                <w:sz w:val="16"/>
                <w:szCs w:val="16"/>
                <w:lang w:eastAsia="nb-NO"/>
              </w:rPr>
              <w:t xml:space="preserve"> barskog</w:t>
            </w:r>
          </w:p>
        </w:tc>
        <w:tc>
          <w:tcPr>
            <w:tcW w:w="820" w:type="dxa"/>
            <w:tcBorders>
              <w:top w:val="nil"/>
              <w:left w:val="nil"/>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Eldre lauvskog</w:t>
            </w:r>
          </w:p>
        </w:tc>
        <w:tc>
          <w:tcPr>
            <w:tcW w:w="860" w:type="dxa"/>
            <w:tcBorders>
              <w:top w:val="nil"/>
              <w:left w:val="nil"/>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Yngre barskog</w:t>
            </w:r>
          </w:p>
        </w:tc>
        <w:tc>
          <w:tcPr>
            <w:tcW w:w="760" w:type="dxa"/>
            <w:tcBorders>
              <w:top w:val="nil"/>
              <w:left w:val="nil"/>
              <w:bottom w:val="single" w:sz="4" w:space="0" w:color="auto"/>
              <w:right w:val="single" w:sz="4" w:space="0" w:color="auto"/>
            </w:tcBorders>
            <w:shd w:val="clear" w:color="auto" w:fill="C6E0B4"/>
            <w:hideMark/>
          </w:tcPr>
          <w:p w:rsidR="00D62F27" w:rsidRDefault="00D62F27">
            <w:pPr>
              <w:spacing w:after="0" w:line="240" w:lineRule="auto"/>
              <w:jc w:val="center"/>
              <w:rPr>
                <w:rFonts w:ascii="Calibri" w:eastAsia="Times New Roman" w:hAnsi="Calibri" w:cs="Calibri"/>
                <w:color w:val="000000"/>
                <w:sz w:val="16"/>
                <w:szCs w:val="16"/>
                <w:lang w:eastAsia="nb-NO"/>
              </w:rPr>
            </w:pPr>
            <w:r>
              <w:rPr>
                <w:rFonts w:ascii="Calibri" w:eastAsia="Times New Roman" w:hAnsi="Calibri" w:cs="Calibri"/>
                <w:color w:val="000000"/>
                <w:sz w:val="16"/>
                <w:szCs w:val="16"/>
                <w:lang w:eastAsia="nb-NO"/>
              </w:rPr>
              <w:t>Yngre lauvskog</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62F27" w:rsidRDefault="00D62F27">
            <w:pPr>
              <w:spacing w:after="0" w:line="256" w:lineRule="auto"/>
              <w:rPr>
                <w:rFonts w:ascii="Calibri" w:eastAsia="Times New Roman" w:hAnsi="Calibri" w:cs="Calibri"/>
                <w:color w:val="000000"/>
                <w:sz w:val="16"/>
                <w:szCs w:val="16"/>
                <w:lang w:eastAsia="nb-NO"/>
              </w:rPr>
            </w:pP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Storfugl</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 xml:space="preserve">S </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Lirype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180000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Jerpe</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gramStart"/>
            <w:r>
              <w:rPr>
                <w:rFonts w:ascii="Calibri" w:eastAsia="Times New Roman" w:hAnsi="Calibri" w:cs="Calibri"/>
                <w:sz w:val="16"/>
                <w:szCs w:val="16"/>
                <w:lang w:eastAsia="nb-NO"/>
              </w:rPr>
              <w:t>Stabil  bestand</w:t>
            </w:r>
            <w:proofErr w:type="gramEnd"/>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Orrfugl</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Hegre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7500</w:t>
            </w:r>
          </w:p>
        </w:tc>
        <w:tc>
          <w:tcPr>
            <w:tcW w:w="1080" w:type="dxa"/>
            <w:noWrap/>
            <w:vAlign w:val="bottom"/>
            <w:hideMark/>
          </w:tcPr>
          <w:p w:rsidR="00D62F27" w:rsidRDefault="00D62F27">
            <w:pPr>
              <w:rPr>
                <w:rFonts w:ascii="Calibri" w:eastAsia="Times New Roman" w:hAnsi="Calibri" w:cs="Calibri"/>
                <w:sz w:val="16"/>
                <w:szCs w:val="16"/>
                <w:lang w:eastAsia="nb-NO"/>
              </w:rPr>
            </w:pPr>
          </w:p>
        </w:tc>
        <w:tc>
          <w:tcPr>
            <w:tcW w:w="714"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Vepsevåk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350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350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gramStart"/>
            <w:r>
              <w:rPr>
                <w:rFonts w:ascii="Calibri" w:eastAsia="Times New Roman" w:hAnsi="Calibri" w:cs="Calibri"/>
                <w:sz w:val="16"/>
                <w:szCs w:val="16"/>
                <w:lang w:eastAsia="nb-NO"/>
              </w:rPr>
              <w:t>Stabil  bestand</w:t>
            </w:r>
            <w:proofErr w:type="gramEnd"/>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Hønsehauk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820" w:type="dxa"/>
            <w:noWrap/>
            <w:vAlign w:val="bottom"/>
            <w:hideMark/>
          </w:tcPr>
          <w:p w:rsidR="00D62F27" w:rsidRDefault="00D62F27">
            <w:pPr>
              <w:spacing w:after="0" w:line="256" w:lineRule="auto"/>
              <w:rPr>
                <w:sz w:val="20"/>
                <w:szCs w:val="20"/>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Spurvehauk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gramStart"/>
            <w:r>
              <w:rPr>
                <w:rFonts w:ascii="Calibri" w:eastAsia="Times New Roman" w:hAnsi="Calibri" w:cs="Calibri"/>
                <w:sz w:val="16"/>
                <w:szCs w:val="16"/>
                <w:lang w:eastAsia="nb-NO"/>
              </w:rPr>
              <w:t>Stabil  bestand</w:t>
            </w:r>
            <w:proofErr w:type="gramEnd"/>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Musvåk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Kongeørn</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Fiskeørn</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Tårnfalk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Lerkefalk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Rugde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Skogsnipe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9000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Skogdue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Ringdue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Gjøk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Hubro</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EN</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Haukugle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Spurveugle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Kattugle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Slagugle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VU</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Lappugle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VU</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Hornugle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Perleugle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Nattravn</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Vendehals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Grpspett</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Grønspett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lastRenderedPageBreak/>
              <w:t>Svartspett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Flaggspett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Hvitryggspett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Dvergspett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Tretåspett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Trelerke</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NT</w:t>
            </w:r>
          </w:p>
        </w:tc>
        <w:tc>
          <w:tcPr>
            <w:tcW w:w="1040"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Trepiplerke</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1300000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1300000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Gulerle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Sidensvans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Gjerdesmett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Jernspurv</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Rødstrupe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Nattergal</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Blåstrupe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Rødstjert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275000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275000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Svarttrost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Gråtrost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Måltrost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1250000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Rødvingetrost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Duetrost</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Gulsanger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Møller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56" w:lineRule="auto"/>
              <w:rPr>
                <w:sz w:val="20"/>
                <w:szCs w:val="20"/>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Tornsanger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Hagesanger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Munk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900000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Bøksanger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Gransanger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Løvsanger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Fuglekonge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1200000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Gråfluesnapper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Svarthvit fluesnapper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Løvmeis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Granmeis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650000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Lappmeis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Toppmeis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130000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Svartmeis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175000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Blåmeis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Kjøttmeis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900000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Spettmeis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Trekryper</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Tornskate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56" w:lineRule="auto"/>
              <w:rPr>
                <w:sz w:val="20"/>
                <w:szCs w:val="20"/>
                <w:lang w:eastAsia="nb-NO"/>
              </w:rPr>
            </w:pP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Varsler</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Nøtteskrike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Lavskrike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Skjære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Nøttekråke</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750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lastRenderedPageBreak/>
              <w:t>Kaie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5500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Kråke</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w:t>
            </w:r>
          </w:p>
        </w:tc>
        <w:tc>
          <w:tcPr>
            <w:tcW w:w="760" w:type="dxa"/>
            <w:noWrap/>
            <w:vAlign w:val="bottom"/>
            <w:hideMark/>
          </w:tcPr>
          <w:p w:rsidR="00D62F27" w:rsidRDefault="00D62F27">
            <w:pPr>
              <w:rPr>
                <w:rFonts w:ascii="Calibri" w:eastAsia="Times New Roman" w:hAnsi="Calibri" w:cs="Calibri"/>
                <w:sz w:val="16"/>
                <w:szCs w:val="16"/>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Bokfink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1300000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400000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Bjørkefink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Grønfink</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Stillits</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70000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Økende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Grønsisik</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350000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T</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8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proofErr w:type="spellStart"/>
            <w:r>
              <w:rPr>
                <w:rFonts w:ascii="Calibri" w:eastAsia="Times New Roman" w:hAnsi="Calibri" w:cs="Calibri"/>
                <w:sz w:val="16"/>
                <w:szCs w:val="16"/>
                <w:lang w:eastAsia="nb-NO"/>
              </w:rPr>
              <w:t>Gråsissik</w:t>
            </w:r>
            <w:proofErr w:type="spellEnd"/>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1000000</w:t>
            </w: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Grankorsnebb</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90000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Furukorsnebb</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Dompap</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150000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25000</w:t>
            </w:r>
          </w:p>
        </w:tc>
        <w:tc>
          <w:tcPr>
            <w:tcW w:w="104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125000</w:t>
            </w:r>
          </w:p>
        </w:tc>
        <w:tc>
          <w:tcPr>
            <w:tcW w:w="820" w:type="dxa"/>
            <w:noWrap/>
            <w:vAlign w:val="bottom"/>
            <w:hideMark/>
          </w:tcPr>
          <w:p w:rsidR="00D62F27" w:rsidRDefault="00D62F27">
            <w:pPr>
              <w:rPr>
                <w:rFonts w:ascii="Calibri" w:eastAsia="Times New Roman" w:hAnsi="Calibri" w:cs="Calibri"/>
                <w:sz w:val="16"/>
                <w:szCs w:val="16"/>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Stabil bestand</w:t>
            </w:r>
          </w:p>
        </w:tc>
      </w:tr>
      <w:tr w:rsidR="00D62F27" w:rsidTr="00D62F27">
        <w:trPr>
          <w:trHeight w:val="300"/>
        </w:trPr>
        <w:tc>
          <w:tcPr>
            <w:tcW w:w="154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Gulspurv</w:t>
            </w:r>
          </w:p>
        </w:tc>
        <w:tc>
          <w:tcPr>
            <w:tcW w:w="98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100000</w:t>
            </w:r>
          </w:p>
        </w:tc>
        <w:tc>
          <w:tcPr>
            <w:tcW w:w="1080" w:type="dxa"/>
            <w:noWrap/>
            <w:vAlign w:val="bottom"/>
            <w:hideMark/>
          </w:tcPr>
          <w:p w:rsidR="00D62F27" w:rsidRDefault="00D62F27">
            <w:pPr>
              <w:spacing w:after="0" w:line="240" w:lineRule="auto"/>
              <w:jc w:val="center"/>
              <w:rPr>
                <w:rFonts w:ascii="Calibri" w:eastAsia="Times New Roman" w:hAnsi="Calibri" w:cs="Calibri"/>
                <w:sz w:val="16"/>
                <w:szCs w:val="16"/>
                <w:lang w:eastAsia="nb-NO"/>
              </w:rPr>
            </w:pPr>
            <w:r>
              <w:rPr>
                <w:rFonts w:ascii="Calibri" w:eastAsia="Times New Roman" w:hAnsi="Calibri" w:cs="Calibri"/>
                <w:sz w:val="16"/>
                <w:szCs w:val="16"/>
                <w:lang w:eastAsia="nb-NO"/>
              </w:rPr>
              <w:t>S</w:t>
            </w:r>
          </w:p>
        </w:tc>
        <w:tc>
          <w:tcPr>
            <w:tcW w:w="714" w:type="dxa"/>
            <w:noWrap/>
            <w:vAlign w:val="bottom"/>
            <w:hideMark/>
          </w:tcPr>
          <w:p w:rsidR="00D62F27" w:rsidRDefault="00D62F27">
            <w:pPr>
              <w:rPr>
                <w:rFonts w:ascii="Calibri" w:eastAsia="Times New Roman" w:hAnsi="Calibri" w:cs="Calibri"/>
                <w:sz w:val="16"/>
                <w:szCs w:val="16"/>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860" w:type="dxa"/>
            <w:noWrap/>
            <w:vAlign w:val="bottom"/>
            <w:hideMark/>
          </w:tcPr>
          <w:p w:rsidR="00D62F27" w:rsidRDefault="00D62F27">
            <w:pPr>
              <w:rPr>
                <w:rFonts w:ascii="Calibri" w:eastAsia="Times New Roman" w:hAnsi="Calibri" w:cs="Calibri"/>
                <w:sz w:val="16"/>
                <w:szCs w:val="16"/>
                <w:lang w:eastAsia="nb-NO"/>
              </w:rPr>
            </w:pPr>
          </w:p>
        </w:tc>
        <w:tc>
          <w:tcPr>
            <w:tcW w:w="760" w:type="dxa"/>
            <w:noWrap/>
            <w:vAlign w:val="bottom"/>
            <w:hideMark/>
          </w:tcPr>
          <w:p w:rsidR="00D62F27" w:rsidRDefault="00D62F27">
            <w:pPr>
              <w:spacing w:after="0" w:line="240" w:lineRule="auto"/>
              <w:jc w:val="right"/>
              <w:rPr>
                <w:rFonts w:ascii="Calibri" w:eastAsia="Times New Roman" w:hAnsi="Calibri" w:cs="Calibri"/>
                <w:sz w:val="16"/>
                <w:szCs w:val="16"/>
                <w:lang w:eastAsia="nb-NO"/>
              </w:rPr>
            </w:pPr>
            <w:r>
              <w:rPr>
                <w:rFonts w:ascii="Calibri" w:eastAsia="Times New Roman" w:hAnsi="Calibri" w:cs="Calibri"/>
                <w:sz w:val="16"/>
                <w:szCs w:val="16"/>
                <w:lang w:eastAsia="nb-NO"/>
              </w:rPr>
              <w:t>50000</w:t>
            </w:r>
          </w:p>
        </w:tc>
        <w:tc>
          <w:tcPr>
            <w:tcW w:w="1700" w:type="dxa"/>
            <w:noWrap/>
            <w:vAlign w:val="bottom"/>
            <w:hideMark/>
          </w:tcPr>
          <w:p w:rsidR="00D62F27" w:rsidRDefault="00D62F27">
            <w:pPr>
              <w:spacing w:after="0" w:line="240" w:lineRule="auto"/>
              <w:rPr>
                <w:rFonts w:ascii="Calibri" w:eastAsia="Times New Roman" w:hAnsi="Calibri" w:cs="Calibri"/>
                <w:sz w:val="16"/>
                <w:szCs w:val="16"/>
                <w:lang w:eastAsia="nb-NO"/>
              </w:rPr>
            </w:pPr>
            <w:r>
              <w:rPr>
                <w:rFonts w:ascii="Calibri" w:eastAsia="Times New Roman" w:hAnsi="Calibri" w:cs="Calibri"/>
                <w:sz w:val="16"/>
                <w:szCs w:val="16"/>
                <w:lang w:eastAsia="nb-NO"/>
              </w:rPr>
              <w:t>Minkende bestand</w:t>
            </w:r>
          </w:p>
        </w:tc>
      </w:tr>
      <w:tr w:rsidR="00D62F27" w:rsidTr="00D62F27">
        <w:trPr>
          <w:trHeight w:val="300"/>
        </w:trPr>
        <w:tc>
          <w:tcPr>
            <w:tcW w:w="1540" w:type="dxa"/>
            <w:noWrap/>
            <w:vAlign w:val="bottom"/>
          </w:tcPr>
          <w:p w:rsidR="00D62F27" w:rsidRDefault="00D62F27">
            <w:pPr>
              <w:rPr>
                <w:rFonts w:ascii="Calibri" w:eastAsia="Times New Roman" w:hAnsi="Calibri" w:cs="Calibri"/>
                <w:sz w:val="16"/>
                <w:szCs w:val="16"/>
                <w:lang w:eastAsia="nb-NO"/>
              </w:rPr>
            </w:pPr>
          </w:p>
        </w:tc>
        <w:tc>
          <w:tcPr>
            <w:tcW w:w="980" w:type="dxa"/>
            <w:noWrap/>
            <w:vAlign w:val="bottom"/>
          </w:tcPr>
          <w:p w:rsidR="00D62F27" w:rsidRDefault="00D62F27">
            <w:pPr>
              <w:spacing w:after="0" w:line="254" w:lineRule="auto"/>
              <w:rPr>
                <w:sz w:val="20"/>
                <w:szCs w:val="20"/>
                <w:lang w:eastAsia="nb-NO"/>
              </w:rPr>
            </w:pPr>
          </w:p>
        </w:tc>
        <w:tc>
          <w:tcPr>
            <w:tcW w:w="1080" w:type="dxa"/>
            <w:noWrap/>
            <w:vAlign w:val="bottom"/>
          </w:tcPr>
          <w:p w:rsidR="00D62F27" w:rsidRDefault="00D62F27">
            <w:pPr>
              <w:spacing w:after="0" w:line="254" w:lineRule="auto"/>
              <w:rPr>
                <w:sz w:val="20"/>
                <w:szCs w:val="20"/>
                <w:lang w:eastAsia="nb-NO"/>
              </w:rPr>
            </w:pPr>
          </w:p>
        </w:tc>
        <w:tc>
          <w:tcPr>
            <w:tcW w:w="714" w:type="dxa"/>
            <w:noWrap/>
            <w:vAlign w:val="bottom"/>
          </w:tcPr>
          <w:p w:rsidR="00D62F27" w:rsidRDefault="00D62F27">
            <w:pPr>
              <w:spacing w:after="0" w:line="254" w:lineRule="auto"/>
              <w:rPr>
                <w:sz w:val="20"/>
                <w:szCs w:val="20"/>
                <w:lang w:eastAsia="nb-NO"/>
              </w:rPr>
            </w:pPr>
          </w:p>
        </w:tc>
        <w:tc>
          <w:tcPr>
            <w:tcW w:w="1040" w:type="dxa"/>
            <w:noWrap/>
            <w:vAlign w:val="bottom"/>
          </w:tcPr>
          <w:p w:rsidR="00D62F27" w:rsidRDefault="00D62F27">
            <w:pPr>
              <w:spacing w:after="0" w:line="254" w:lineRule="auto"/>
              <w:rPr>
                <w:sz w:val="20"/>
                <w:szCs w:val="20"/>
                <w:lang w:eastAsia="nb-NO"/>
              </w:rPr>
            </w:pPr>
          </w:p>
        </w:tc>
        <w:tc>
          <w:tcPr>
            <w:tcW w:w="1040" w:type="dxa"/>
            <w:noWrap/>
            <w:vAlign w:val="bottom"/>
          </w:tcPr>
          <w:p w:rsidR="00D62F27" w:rsidRDefault="00D62F27">
            <w:pPr>
              <w:spacing w:after="0" w:line="254" w:lineRule="auto"/>
              <w:rPr>
                <w:sz w:val="20"/>
                <w:szCs w:val="20"/>
                <w:lang w:eastAsia="nb-NO"/>
              </w:rPr>
            </w:pPr>
          </w:p>
        </w:tc>
        <w:tc>
          <w:tcPr>
            <w:tcW w:w="820" w:type="dxa"/>
            <w:noWrap/>
            <w:vAlign w:val="bottom"/>
          </w:tcPr>
          <w:p w:rsidR="00D62F27" w:rsidRDefault="00D62F27">
            <w:pPr>
              <w:spacing w:after="0" w:line="254" w:lineRule="auto"/>
              <w:rPr>
                <w:sz w:val="20"/>
                <w:szCs w:val="20"/>
                <w:lang w:eastAsia="nb-NO"/>
              </w:rPr>
            </w:pPr>
          </w:p>
        </w:tc>
        <w:tc>
          <w:tcPr>
            <w:tcW w:w="860" w:type="dxa"/>
            <w:noWrap/>
            <w:vAlign w:val="bottom"/>
          </w:tcPr>
          <w:p w:rsidR="00D62F27" w:rsidRDefault="00D62F27">
            <w:pPr>
              <w:spacing w:after="0" w:line="254" w:lineRule="auto"/>
              <w:rPr>
                <w:sz w:val="20"/>
                <w:szCs w:val="20"/>
                <w:lang w:eastAsia="nb-NO"/>
              </w:rPr>
            </w:pPr>
          </w:p>
        </w:tc>
        <w:tc>
          <w:tcPr>
            <w:tcW w:w="760" w:type="dxa"/>
            <w:noWrap/>
            <w:vAlign w:val="bottom"/>
          </w:tcPr>
          <w:p w:rsidR="00D62F27" w:rsidRDefault="00D62F27">
            <w:pPr>
              <w:spacing w:after="0" w:line="254" w:lineRule="auto"/>
              <w:rPr>
                <w:sz w:val="20"/>
                <w:szCs w:val="20"/>
                <w:lang w:eastAsia="nb-NO"/>
              </w:rPr>
            </w:pPr>
          </w:p>
        </w:tc>
        <w:tc>
          <w:tcPr>
            <w:tcW w:w="1700" w:type="dxa"/>
            <w:noWrap/>
            <w:vAlign w:val="bottom"/>
          </w:tcPr>
          <w:p w:rsidR="00D62F27" w:rsidRDefault="00D62F27">
            <w:pPr>
              <w:spacing w:after="0" w:line="254" w:lineRule="auto"/>
              <w:rPr>
                <w:sz w:val="20"/>
                <w:szCs w:val="20"/>
                <w:lang w:eastAsia="nb-NO"/>
              </w:rPr>
            </w:pPr>
          </w:p>
        </w:tc>
      </w:tr>
      <w:tr w:rsidR="00D62F27" w:rsidTr="00D62F27">
        <w:trPr>
          <w:trHeight w:val="300"/>
        </w:trPr>
        <w:tc>
          <w:tcPr>
            <w:tcW w:w="1540" w:type="dxa"/>
            <w:noWrap/>
            <w:vAlign w:val="bottom"/>
            <w:hideMark/>
          </w:tcPr>
          <w:p w:rsidR="00D62F27" w:rsidRDefault="00D62F27">
            <w:pPr>
              <w:rPr>
                <w:sz w:val="20"/>
                <w:szCs w:val="20"/>
                <w:lang w:eastAsia="nb-NO"/>
              </w:rPr>
            </w:pPr>
          </w:p>
        </w:tc>
        <w:tc>
          <w:tcPr>
            <w:tcW w:w="980" w:type="dxa"/>
            <w:noWrap/>
            <w:vAlign w:val="bottom"/>
            <w:hideMark/>
          </w:tcPr>
          <w:p w:rsidR="00D62F27" w:rsidRDefault="00D62F27">
            <w:pPr>
              <w:spacing w:after="0" w:line="240" w:lineRule="auto"/>
              <w:jc w:val="right"/>
              <w:rPr>
                <w:rFonts w:ascii="Calibri" w:eastAsia="Times New Roman" w:hAnsi="Calibri" w:cs="Calibri"/>
                <w:sz w:val="18"/>
                <w:szCs w:val="18"/>
                <w:lang w:eastAsia="nb-NO"/>
              </w:rPr>
            </w:pPr>
            <w:r>
              <w:rPr>
                <w:rFonts w:ascii="Calibri" w:eastAsia="Times New Roman" w:hAnsi="Calibri" w:cs="Calibri"/>
                <w:sz w:val="18"/>
                <w:szCs w:val="18"/>
                <w:lang w:eastAsia="nb-NO"/>
              </w:rPr>
              <w:t>32489540</w:t>
            </w:r>
          </w:p>
        </w:tc>
        <w:tc>
          <w:tcPr>
            <w:tcW w:w="1080" w:type="dxa"/>
            <w:noWrap/>
            <w:vAlign w:val="bottom"/>
            <w:hideMark/>
          </w:tcPr>
          <w:p w:rsidR="00D62F27" w:rsidRDefault="00D62F27">
            <w:pPr>
              <w:rPr>
                <w:rFonts w:ascii="Calibri" w:eastAsia="Times New Roman" w:hAnsi="Calibri" w:cs="Calibri"/>
                <w:sz w:val="18"/>
                <w:szCs w:val="18"/>
                <w:lang w:eastAsia="nb-NO"/>
              </w:rPr>
            </w:pPr>
          </w:p>
        </w:tc>
        <w:tc>
          <w:tcPr>
            <w:tcW w:w="714"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1040" w:type="dxa"/>
            <w:noWrap/>
            <w:vAlign w:val="bottom"/>
            <w:hideMark/>
          </w:tcPr>
          <w:p w:rsidR="00D62F27" w:rsidRDefault="00D62F27">
            <w:pPr>
              <w:spacing w:after="0" w:line="256" w:lineRule="auto"/>
              <w:rPr>
                <w:sz w:val="20"/>
                <w:szCs w:val="20"/>
                <w:lang w:eastAsia="nb-NO"/>
              </w:rPr>
            </w:pPr>
          </w:p>
        </w:tc>
        <w:tc>
          <w:tcPr>
            <w:tcW w:w="820" w:type="dxa"/>
            <w:noWrap/>
            <w:vAlign w:val="bottom"/>
            <w:hideMark/>
          </w:tcPr>
          <w:p w:rsidR="00D62F27" w:rsidRDefault="00D62F27">
            <w:pPr>
              <w:spacing w:after="0" w:line="256" w:lineRule="auto"/>
              <w:rPr>
                <w:sz w:val="20"/>
                <w:szCs w:val="20"/>
                <w:lang w:eastAsia="nb-NO"/>
              </w:rPr>
            </w:pPr>
          </w:p>
        </w:tc>
        <w:tc>
          <w:tcPr>
            <w:tcW w:w="860" w:type="dxa"/>
            <w:noWrap/>
            <w:vAlign w:val="bottom"/>
            <w:hideMark/>
          </w:tcPr>
          <w:p w:rsidR="00D62F27" w:rsidRDefault="00D62F27">
            <w:pPr>
              <w:spacing w:after="0" w:line="256" w:lineRule="auto"/>
              <w:rPr>
                <w:sz w:val="20"/>
                <w:szCs w:val="20"/>
                <w:lang w:eastAsia="nb-NO"/>
              </w:rPr>
            </w:pPr>
          </w:p>
        </w:tc>
        <w:tc>
          <w:tcPr>
            <w:tcW w:w="760" w:type="dxa"/>
            <w:noWrap/>
            <w:vAlign w:val="bottom"/>
            <w:hideMark/>
          </w:tcPr>
          <w:p w:rsidR="00D62F27" w:rsidRDefault="00D62F27">
            <w:pPr>
              <w:spacing w:after="0" w:line="256" w:lineRule="auto"/>
              <w:rPr>
                <w:sz w:val="20"/>
                <w:szCs w:val="20"/>
                <w:lang w:eastAsia="nb-NO"/>
              </w:rPr>
            </w:pPr>
          </w:p>
        </w:tc>
        <w:tc>
          <w:tcPr>
            <w:tcW w:w="1700" w:type="dxa"/>
            <w:noWrap/>
            <w:vAlign w:val="bottom"/>
            <w:hideMark/>
          </w:tcPr>
          <w:p w:rsidR="00D62F27" w:rsidRDefault="00D62F27">
            <w:pPr>
              <w:spacing w:after="0" w:line="256" w:lineRule="auto"/>
              <w:rPr>
                <w:sz w:val="20"/>
                <w:szCs w:val="20"/>
                <w:lang w:eastAsia="nb-NO"/>
              </w:rPr>
            </w:pPr>
          </w:p>
        </w:tc>
      </w:tr>
    </w:tbl>
    <w:p w:rsidR="00D62F27" w:rsidRDefault="00D62F27" w:rsidP="00D62F27">
      <w:pPr>
        <w:rPr>
          <w:b/>
        </w:rPr>
      </w:pPr>
    </w:p>
    <w:p w:rsidR="00003C39" w:rsidRDefault="00003C39"/>
    <w:sectPr w:rsidR="0000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27"/>
    <w:rsid w:val="00003C39"/>
    <w:rsid w:val="000C109C"/>
    <w:rsid w:val="00440686"/>
    <w:rsid w:val="00A400F6"/>
    <w:rsid w:val="00B44A8A"/>
    <w:rsid w:val="00D62F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CB88"/>
  <w15:chartTrackingRefBased/>
  <w15:docId w15:val="{E4ADE247-3182-4DA3-966D-E943B1B2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27"/>
    <w:pPr>
      <w:spacing w:line="252"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semiHidden/>
    <w:rsid w:val="00D62F27"/>
  </w:style>
  <w:style w:type="paragraph" w:styleId="Topptekst">
    <w:name w:val="header"/>
    <w:basedOn w:val="Normal"/>
    <w:link w:val="TopptekstTegn"/>
    <w:uiPriority w:val="99"/>
    <w:semiHidden/>
    <w:unhideWhenUsed/>
    <w:rsid w:val="00D62F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62F27"/>
  </w:style>
  <w:style w:type="paragraph" w:styleId="Bunntekst">
    <w:name w:val="footer"/>
    <w:basedOn w:val="Normal"/>
    <w:link w:val="BunntekstTegn"/>
    <w:uiPriority w:val="99"/>
    <w:semiHidden/>
    <w:unhideWhenUsed/>
    <w:rsid w:val="00D62F27"/>
    <w:pPr>
      <w:tabs>
        <w:tab w:val="center" w:pos="4536"/>
        <w:tab w:val="right" w:pos="9072"/>
      </w:tabs>
      <w:spacing w:after="0" w:line="240" w:lineRule="auto"/>
    </w:pPr>
  </w:style>
  <w:style w:type="character" w:customStyle="1" w:styleId="BobletekstTegn">
    <w:name w:val="Bobletekst Tegn"/>
    <w:basedOn w:val="Standardskriftforavsnitt"/>
    <w:link w:val="Bobletekst"/>
    <w:uiPriority w:val="99"/>
    <w:semiHidden/>
    <w:rsid w:val="00D62F27"/>
    <w:rPr>
      <w:rFonts w:ascii="Segoe UI" w:hAnsi="Segoe UI" w:cs="Segoe UI"/>
      <w:sz w:val="18"/>
      <w:szCs w:val="18"/>
    </w:rPr>
  </w:style>
  <w:style w:type="paragraph" w:styleId="Bobletekst">
    <w:name w:val="Balloon Text"/>
    <w:basedOn w:val="Normal"/>
    <w:link w:val="BobletekstTegn"/>
    <w:uiPriority w:val="99"/>
    <w:semiHidden/>
    <w:unhideWhenUsed/>
    <w:rsid w:val="00D62F27"/>
    <w:pPr>
      <w:spacing w:after="0" w:line="240" w:lineRule="auto"/>
    </w:pPr>
    <w:rPr>
      <w:rFonts w:ascii="Segoe UI" w:hAnsi="Segoe UI" w:cs="Segoe UI"/>
      <w:sz w:val="18"/>
      <w:szCs w:val="18"/>
    </w:rPr>
  </w:style>
  <w:style w:type="character" w:styleId="Hyperkobling">
    <w:name w:val="Hyperlink"/>
    <w:basedOn w:val="Standardskriftforavsnitt"/>
    <w:uiPriority w:val="99"/>
    <w:semiHidden/>
    <w:unhideWhenUsed/>
    <w:rsid w:val="00D62F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7227">
      <w:bodyDiv w:val="1"/>
      <w:marLeft w:val="0"/>
      <w:marRight w:val="0"/>
      <w:marTop w:val="0"/>
      <w:marBottom w:val="0"/>
      <w:divBdr>
        <w:top w:val="none" w:sz="0" w:space="0" w:color="auto"/>
        <w:left w:val="none" w:sz="0" w:space="0" w:color="auto"/>
        <w:bottom w:val="none" w:sz="0" w:space="0" w:color="auto"/>
        <w:right w:val="none" w:sz="0" w:space="0" w:color="auto"/>
      </w:divBdr>
    </w:div>
    <w:div w:id="9348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jostatus.no/Hekkande-fugl-i-sko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rdlife.no/prosjekter/rapporter/2014_04_NOF.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databanken.no/Files/13973/Norsk_r_dliste_for_arter_2015_(PDF)" TargetMode="External"/><Relationship Id="rId11" Type="http://schemas.openxmlformats.org/officeDocument/2006/relationships/hyperlink" Target="http://www.birdlife.no/prosjekter/nyheter/?id=2288" TargetMode="External"/><Relationship Id="rId5" Type="http://schemas.openxmlformats.org/officeDocument/2006/relationships/hyperlink" Target="https://brage.bibsys.no/xmlui/bitstream/handle/11250/2449870/NIBIO_RAPPORT_2017_3_96_v2.pdf?sequence=2&amp;isAllowed=y" TargetMode="External"/><Relationship Id="rId10" Type="http://schemas.openxmlformats.org/officeDocument/2006/relationships/hyperlink" Target="https://www.pefc.no/news_articles/nye-retningslinjer-knyttet-til-hogst-i-fuglenes-hekkesesong" TargetMode="External"/><Relationship Id="rId4" Type="http://schemas.openxmlformats.org/officeDocument/2006/relationships/hyperlink" Target="http://www.birdlife.no/innhold/bilder/2015/11/17/3530/bestandsestimater_for_norske.pdf" TargetMode="External"/><Relationship Id="rId9" Type="http://schemas.openxmlformats.org/officeDocument/2006/relationships/hyperlink" Target="http://www.pefcnorge.org/vedl/PEFC%20N%2002_Norsk%20PEFC%20Skogstandard_Juni%202016_.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3464</Words>
  <Characters>18364</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Søgnen, Svein M.</dc:creator>
  <cp:keywords/>
  <dc:description/>
  <cp:lastModifiedBy>Søgnen, Svein M.</cp:lastModifiedBy>
  <cp:revision>3</cp:revision>
  <dcterms:created xsi:type="dcterms:W3CDTF">2019-05-08T07:27:00Z</dcterms:created>
  <dcterms:modified xsi:type="dcterms:W3CDTF">2019-05-08T08:09:00Z</dcterms:modified>
</cp:coreProperties>
</file>